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Lumber HRIS Vendor Scorecard (Integrated View)</w:t>
      </w:r>
    </w:p>
    <w:p>
      <w:r>
        <w:t>This report provides an integrated vendor scorecard framework for evaluating white-label and OEM-friendly HRIS modules. It combines all-in-one white-label platforms with purpose-built modular solutions, allowing Lumber to balance breadth and depth in its HRIS product strategy.</w:t>
        <w:br/>
        <w:br/>
        <w:t>The following table summarizes module coverage, vendor options, and evaluation criteria.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 / Capability</w:t>
            </w:r>
          </w:p>
        </w:tc>
        <w:tc>
          <w:tcPr>
            <w:tcW w:type="dxa" w:w="2160"/>
          </w:tcPr>
          <w:p>
            <w:r>
              <w:t>Multi-Module White-Label Platforms (All-in-One Style)</w:t>
            </w:r>
          </w:p>
        </w:tc>
        <w:tc>
          <w:tcPr>
            <w:tcW w:type="dxa" w:w="2160"/>
          </w:tcPr>
          <w:p>
            <w:r>
              <w:t>Purpose-Built OEM / White-Label Options</w:t>
            </w:r>
          </w:p>
        </w:tc>
        <w:tc>
          <w:tcPr>
            <w:tcW w:type="dxa" w:w="2160"/>
          </w:tcPr>
          <w:p>
            <w:r>
              <w:t>Criteria (Weighted)</w:t>
            </w:r>
          </w:p>
        </w:tc>
      </w:tr>
      <w:tr>
        <w:tc>
          <w:tcPr>
            <w:tcW w:type="dxa" w:w="2160"/>
          </w:tcPr>
          <w:p>
            <w:r>
              <w:t>Core HR / Employee DB</w:t>
            </w:r>
          </w:p>
        </w:tc>
        <w:tc>
          <w:tcPr>
            <w:tcW w:type="dxa" w:w="2160"/>
          </w:tcPr>
          <w:p>
            <w:r>
              <w:t>TalentHR, PandaHR, Innowise HRM, AgileSoftLabs</w:t>
            </w:r>
          </w:p>
        </w:tc>
        <w:tc>
          <w:tcPr>
            <w:tcW w:type="dxa" w:w="2160"/>
          </w:tcPr>
          <w:p>
            <w:r>
              <w:t>IceHrm</w:t>
            </w:r>
          </w:p>
        </w:tc>
        <w:tc>
          <w:tcPr>
            <w:tcW w:type="dxa" w:w="2160"/>
          </w:tcPr>
          <w:p>
            <w:r>
              <w:t>Branding (20%), API integration (20%), Core HR features (20%), UX/mobile (15%), Partner viability (15%), Cost (10%)</w:t>
            </w:r>
          </w:p>
        </w:tc>
      </w:tr>
      <w:tr>
        <w:tc>
          <w:tcPr>
            <w:tcW w:type="dxa" w:w="2160"/>
          </w:tcPr>
          <w:p>
            <w:r>
              <w:t>Performance Management</w:t>
            </w:r>
          </w:p>
        </w:tc>
        <w:tc>
          <w:tcPr>
            <w:tcW w:type="dxa" w:w="2160"/>
          </w:tcPr>
          <w:p>
            <w:r>
              <w:t>TalentHR, AgileSoftLabs, PandaHR</w:t>
            </w:r>
          </w:p>
        </w:tc>
        <w:tc>
          <w:tcPr>
            <w:tcW w:type="dxa" w:w="2160"/>
          </w:tcPr>
          <w:p>
            <w:r>
              <w:t>Engagedly (OEM), ClearCompany, (Integrable: Lattice, 15Five)</w:t>
            </w:r>
          </w:p>
        </w:tc>
        <w:tc>
          <w:tcPr>
            <w:tcW w:type="dxa" w:w="2160"/>
          </w:tcPr>
          <w:p>
            <w:r>
              <w:t>White-label readiness (20%), Feature depth (25%), Integration ease (20%), Analytics (20%), Cost (15%)</w:t>
            </w:r>
          </w:p>
        </w:tc>
      </w:tr>
      <w:tr>
        <w:tc>
          <w:tcPr>
            <w:tcW w:type="dxa" w:w="2160"/>
          </w:tcPr>
          <w:p>
            <w:r>
              <w:t>Learning &amp; Development (LMS)</w:t>
            </w:r>
          </w:p>
        </w:tc>
        <w:tc>
          <w:tcPr>
            <w:tcW w:type="dxa" w:w="2160"/>
          </w:tcPr>
          <w:p>
            <w:r>
              <w:t>AgileSoftLabs (training), TalentHR (basic LMS), PandaHR (learning)</w:t>
            </w:r>
          </w:p>
        </w:tc>
        <w:tc>
          <w:tcPr>
            <w:tcW w:type="dxa" w:w="2160"/>
          </w:tcPr>
          <w:p>
            <w:r>
              <w:t>Absorb LMS (OEM), TalentLMS, 360Learning</w:t>
            </w:r>
          </w:p>
        </w:tc>
        <w:tc>
          <w:tcPr>
            <w:tcW w:type="dxa" w:w="2160"/>
          </w:tcPr>
          <w:p>
            <w:r>
              <w:t>White-label branding (20%), Compliance/safety fit (20%), Integration (20%), UX/mobile (20%), Cost (20%)</w:t>
            </w:r>
          </w:p>
        </w:tc>
      </w:tr>
      <w:tr>
        <w:tc>
          <w:tcPr>
            <w:tcW w:type="dxa" w:w="2160"/>
          </w:tcPr>
          <w:p>
            <w:r>
              <w:t>Employee Self-Service</w:t>
            </w:r>
          </w:p>
        </w:tc>
        <w:tc>
          <w:tcPr>
            <w:tcW w:type="dxa" w:w="2160"/>
          </w:tcPr>
          <w:p>
            <w:r>
              <w:t>TalentHR, Innowise, PandaHR</w:t>
            </w:r>
          </w:p>
        </w:tc>
        <w:tc>
          <w:tcPr>
            <w:tcW w:type="dxa" w:w="2160"/>
          </w:tcPr>
          <w:p>
            <w:r>
              <w:t>Portal add-ons (PeopleSpheres)</w:t>
            </w:r>
          </w:p>
        </w:tc>
        <w:tc>
          <w:tcPr>
            <w:tcW w:type="dxa" w:w="2160"/>
          </w:tcPr>
          <w:p>
            <w:r>
              <w:t>Branding (20%), Features (20%), SSO &amp; HR sync (25%), Mobile UX (20%), Cost (15%)</w:t>
            </w:r>
          </w:p>
        </w:tc>
      </w:tr>
      <w:tr>
        <w:tc>
          <w:tcPr>
            <w:tcW w:type="dxa" w:w="2160"/>
          </w:tcPr>
          <w:p>
            <w:r>
              <w:t>Skills &amp; Credential Mgmt</w:t>
            </w:r>
          </w:p>
        </w:tc>
        <w:tc>
          <w:tcPr>
            <w:tcW w:type="dxa" w:w="2160"/>
          </w:tcPr>
          <w:p>
            <w:r>
              <w:t>Innowise HRM (training/credentials)</w:t>
            </w:r>
          </w:p>
        </w:tc>
        <w:tc>
          <w:tcPr>
            <w:tcW w:type="dxa" w:w="2160"/>
          </w:tcPr>
          <w:p>
            <w:r>
              <w:t>BuilderFax (in-house), TalentCards</w:t>
            </w:r>
          </w:p>
        </w:tc>
        <w:tc>
          <w:tcPr>
            <w:tcW w:type="dxa" w:w="2160"/>
          </w:tcPr>
          <w:p>
            <w:r>
              <w:t>Branding (20%), Certification tracking (25%), Compliance fit (20%), Integration ease (20%), Cost (15%)</w:t>
            </w:r>
          </w:p>
        </w:tc>
      </w:tr>
      <w:tr>
        <w:tc>
          <w:tcPr>
            <w:tcW w:type="dxa" w:w="2160"/>
          </w:tcPr>
          <w:p>
            <w:r>
              <w:t>Org Chart Management</w:t>
            </w:r>
          </w:p>
        </w:tc>
        <w:tc>
          <w:tcPr>
            <w:tcW w:type="dxa" w:w="2160"/>
          </w:tcPr>
          <w:p>
            <w:r>
              <w:t>TalentHR, Innowise HRM</w:t>
            </w:r>
          </w:p>
        </w:tc>
        <w:tc>
          <w:tcPr>
            <w:tcW w:type="dxa" w:w="2160"/>
          </w:tcPr>
          <w:p>
            <w:r>
              <w:t>OrgChart Now (OEM), ChartHop (embed)</w:t>
            </w:r>
          </w:p>
        </w:tc>
        <w:tc>
          <w:tcPr>
            <w:tcW w:type="dxa" w:w="2160"/>
          </w:tcPr>
          <w:p>
            <w:r>
              <w:t>White-label (20%), Multi-EIN &amp; dotted-line (20%), Integration with HR (25%), UX (20%), Cost (15%)</w:t>
            </w:r>
          </w:p>
        </w:tc>
      </w:tr>
      <w:tr>
        <w:tc>
          <w:tcPr>
            <w:tcW w:type="dxa" w:w="2160"/>
          </w:tcPr>
          <w:p>
            <w:r>
              <w:t>Offboarding</w:t>
            </w:r>
          </w:p>
        </w:tc>
        <w:tc>
          <w:tcPr>
            <w:tcW w:type="dxa" w:w="2160"/>
          </w:tcPr>
          <w:p>
            <w:r>
              <w:t>TalentHR, AgileSoftLabs, PandaHR</w:t>
            </w:r>
          </w:p>
        </w:tc>
        <w:tc>
          <w:tcPr>
            <w:tcW w:type="dxa" w:w="2160"/>
          </w:tcPr>
          <w:p>
            <w:r>
              <w:t>Sapling HR (Kallidus)</w:t>
            </w:r>
          </w:p>
        </w:tc>
        <w:tc>
          <w:tcPr>
            <w:tcW w:type="dxa" w:w="2160"/>
          </w:tcPr>
          <w:p>
            <w:r>
              <w:t>Branding (15%), Workflows (20%), Integration (20%), Compliance (20%), Cost (25%)</w:t>
            </w:r>
          </w:p>
        </w:tc>
      </w:tr>
      <w:tr>
        <w:tc>
          <w:tcPr>
            <w:tcW w:type="dxa" w:w="2160"/>
          </w:tcPr>
          <w:p>
            <w:r>
              <w:t>Analytics &amp; Reporting</w:t>
            </w:r>
          </w:p>
        </w:tc>
        <w:tc>
          <w:tcPr>
            <w:tcW w:type="dxa" w:w="2160"/>
          </w:tcPr>
          <w:p>
            <w:r>
              <w:t>AgileSoftLabs (AI dashboards), TalentHR (basic analytics)</w:t>
            </w:r>
          </w:p>
        </w:tc>
        <w:tc>
          <w:tcPr>
            <w:tcW w:type="dxa" w:w="2160"/>
          </w:tcPr>
          <w:p>
            <w:r>
              <w:t>Visier Embedded, SplashBI, Crunchr</w:t>
            </w:r>
          </w:p>
        </w:tc>
        <w:tc>
          <w:tcPr>
            <w:tcW w:type="dxa" w:w="2160"/>
          </w:tcPr>
          <w:p>
            <w:r>
              <w:t>Embeddability/OEM (25%), Data integration (25%), Compliance reporting (20%), Visualization (15%), Cost (15%)</w:t>
            </w:r>
          </w:p>
        </w:tc>
      </w:tr>
      <w:tr>
        <w:tc>
          <w:tcPr>
            <w:tcW w:type="dxa" w:w="2160"/>
          </w:tcPr>
          <w:p>
            <w:r>
              <w:t>Surveys &amp; Engagement</w:t>
            </w:r>
          </w:p>
        </w:tc>
        <w:tc>
          <w:tcPr>
            <w:tcW w:type="dxa" w:w="2160"/>
          </w:tcPr>
          <w:p>
            <w:r>
              <w:t>PandaHR (employee surveys)</w:t>
            </w:r>
          </w:p>
        </w:tc>
        <w:tc>
          <w:tcPr>
            <w:tcW w:type="dxa" w:w="2160"/>
          </w:tcPr>
          <w:p>
            <w:r>
              <w:t>Energage (OEM), CultureAmp (integrable)</w:t>
            </w:r>
          </w:p>
        </w:tc>
        <w:tc>
          <w:tcPr>
            <w:tcW w:type="dxa" w:w="2160"/>
          </w:tcPr>
          <w:p>
            <w:r>
              <w:t>White-label (20%), Survey depth (25%), HR sync (20%), Analytics (20%), Cost (15%)</w:t>
            </w:r>
          </w:p>
        </w:tc>
      </w:tr>
      <w:tr>
        <w:tc>
          <w:tcPr>
            <w:tcW w:type="dxa" w:w="2160"/>
          </w:tcPr>
          <w:p>
            <w:r>
              <w:t>Recognition &amp; Rewards</w:t>
            </w:r>
          </w:p>
        </w:tc>
        <w:tc>
          <w:tcPr>
            <w:tcW w:type="dxa" w:w="2160"/>
          </w:tcPr>
          <w:p>
            <w:r>
              <w:t>(not core in multi-module HRM)</w:t>
            </w:r>
          </w:p>
        </w:tc>
        <w:tc>
          <w:tcPr>
            <w:tcW w:type="dxa" w:w="2160"/>
          </w:tcPr>
          <w:p>
            <w:r>
              <w:t>Bonusly OEM, Motivosity partner</w:t>
            </w:r>
          </w:p>
        </w:tc>
        <w:tc>
          <w:tcPr>
            <w:tcW w:type="dxa" w:w="2160"/>
          </w:tcPr>
          <w:p>
            <w:r>
              <w:t>Branding (25%), Features (25%), Integration (20%), Reporting (15%), Cost (15%)</w:t>
            </w:r>
          </w:p>
        </w:tc>
      </w:tr>
      <w:tr>
        <w:tc>
          <w:tcPr>
            <w:tcW w:type="dxa" w:w="2160"/>
          </w:tcPr>
          <w:p>
            <w:r>
              <w:t>Benefits &amp; Wellness</w:t>
            </w:r>
          </w:p>
        </w:tc>
        <w:tc>
          <w:tcPr>
            <w:tcW w:type="dxa" w:w="2160"/>
          </w:tcPr>
          <w:p>
            <w:r>
              <w:t>Playroll (global payroll/benefits), AgileSoftLabs</w:t>
            </w:r>
          </w:p>
        </w:tc>
        <w:tc>
          <w:tcPr>
            <w:tcW w:type="dxa" w:w="2160"/>
          </w:tcPr>
          <w:p>
            <w:r>
              <w:t>Mineral HR, Sequoia wellness partners</w:t>
            </w:r>
          </w:p>
        </w:tc>
        <w:tc>
          <w:tcPr>
            <w:tcW w:type="dxa" w:w="2160"/>
          </w:tcPr>
          <w:p>
            <w:r>
              <w:t>Branding (20%), Benefits access (20%), Integration (20%), Compliance (20%), Cost (20%)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