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rPr>
        <w:t xml:space="preserve">AUTORIZACIÓN DE DOMICILIACIÓN Y VALIDACIÓN</w:t>
      </w:r>
    </w:p>
    <w:p>
      <w:pPr>
        <w:spacing w:after="200"/>
      </w:pPr>
      <w:r>
        <w:t>Yo, {nombre} cliente pagador, titular de la cédula de identidad N°{cedula}, titular de la cuenta bancaria N°{cuenta} de la entidad {banco} (</w:t>
      </w:r>
      <w:r>
        <w:rPr>
          <w:b/>
          <w:bCs/>
        </w:rPr>
        <w:t xml:space="preserve">"EL TITULAR"</w:t>
      </w:r>
      <w:r>
        <w:t xml:space="preserve">), Al hacer clic en "Aceptar y Domiciliar Cuenta", otorgo mi consentimiento expreso a la sociedad mercantil </w:t>
      </w:r>
      <w:r>
        <w:rPr>
          <w:b/>
          <w:bCs/>
        </w:rPr>
        <w:t xml:space="preserve">BONEVE GROUP, C.A.</w:t>
      </w:r>
      <w:r>
        <w:t xml:space="preserve">, identificada con el Registro Único de Información Fiscal (R.I.F) </w:t>
      </w:r>
      <w:r>
        <w:rPr>
          <w:b/>
          <w:bCs/>
        </w:rPr>
        <w:t xml:space="preserve">J-506009684</w:t>
      </w:r>
      <w:r>
        <w:t xml:space="preserve"> (</w:t>
      </w:r>
      <w:r>
        <w:rPr>
          <w:b/>
          <w:bCs/>
        </w:rPr>
        <w:t xml:space="preserve">"EL COMERCIO"</w:t>
      </w:r>
      <w:r>
        <w:t xml:space="preserve">), para los siguientes términos relacionados con el pago de los Servicios contratados:</w:t>
      </w:r>
    </w:p>
    <w:p>
      <w:pPr>
        <w:pStyle w:val="Heading2"/>
      </w:pPr>
      <w:r>
        <w:rPr>
          <w:b/>
          <w:bCs/>
        </w:rPr>
        <w:t xml:space="preserve">CLÁUSULA 1. OBJETO.</w:t>
      </w:r>
    </w:p>
    <w:p>
      <w:pPr>
        <w:pStyle w:val="ListParagraph"/>
        <w:numPr>
          <w:ilvl w:val="0"/>
          <w:numId w:val="2"/>
        </w:numPr>
        <w:spacing w:after="200"/>
      </w:pPr>
      <w:r>
        <w:rPr>
          <w:b/>
          <w:bCs/>
        </w:rPr>
        <w:t xml:space="preserve">EL TITULAR</w:t>
      </w:r>
      <w:r>
        <w:t xml:space="preserve"> autoriza a </w:t>
      </w:r>
      <w:r>
        <w:rPr>
          <w:b/>
          <w:bCs/>
        </w:rPr>
        <w:t xml:space="preserve">EL COMERCIO</w:t>
      </w:r>
      <w:r>
        <w:t xml:space="preserve"> para que, por orden y cuenta de </w:t>
      </w:r>
      <w:r>
        <w:rPr>
          <w:b/>
          <w:bCs/>
        </w:rPr>
        <w:t xml:space="preserve">EL TITULAR</w:t>
      </w:r>
      <w:r>
        <w:t xml:space="preserve">, y por medios propios o mediante infraestructura tecnológica gestionada por terceros, genere, gestione y transmita instrucciones de débito directo (domiciliación) sobre la cuenta bancaria indicada por </w:t>
      </w:r>
      <w:r>
        <w:rPr>
          <w:b/>
          <w:bCs/>
        </w:rPr>
        <w:t xml:space="preserve">EL TITULAR</w:t>
      </w:r>
      <w:r>
        <w:t xml:space="preserve">, a los fines de procesar el pago de las suscripciones de alimentación para mascotas, tarifas de uso, y cualquier otro cargo derivado de la relación comercial entre </w:t>
      </w:r>
      <w:r>
        <w:rPr>
          <w:b/>
          <w:bCs/>
        </w:rPr>
        <w:t xml:space="preserve">EL TITULAR</w:t>
      </w:r>
      <w:r>
        <w:t xml:space="preserve"> y </w:t>
      </w:r>
      <w:r>
        <w:rPr>
          <w:b/>
          <w:bCs/>
        </w:rPr>
        <w:t xml:space="preserve">EL COMERCIO.</w:t>
      </w:r>
    </w:p>
    <w:p>
      <w:pPr>
        <w:pStyle w:val="Heading2"/>
      </w:pPr>
      <w:r>
        <w:rPr>
          <w:b/>
          <w:bCs/>
        </w:rPr>
        <w:t xml:space="preserve">CLÁUSULA 2. VALIDACIÓN DE SEGURIDAD.</w:t>
      </w:r>
    </w:p>
    <w:p>
      <w:pPr>
        <w:pStyle w:val="ListParagraph"/>
        <w:numPr>
          <w:ilvl w:val="0"/>
          <w:numId w:val="2"/>
        </w:numPr>
        <w:spacing w:after="200"/>
      </w:pPr>
      <w:r>
        <w:t xml:space="preserve">Al momento de afiliar una cuenta (y cada vez que </w:t>
      </w:r>
      <w:r>
        <w:rPr>
          <w:b/>
          <w:bCs/>
        </w:rPr>
        <w:t xml:space="preserve">EL TITULAR</w:t>
      </w:r>
      <w:r>
        <w:t xml:space="preserve"> decida cambiar la cuenta afiliada por una nueva), </w:t>
      </w:r>
      <w:r>
        <w:rPr>
          <w:b/>
          <w:bCs/>
        </w:rPr>
        <w:t xml:space="preserve">EL COMERCIO</w:t>
      </w:r>
      <w:r>
        <w:t xml:space="preserve"> realizará un cargo automático y temporal de bajo monto ("Instrucción de Prueba"), con el único y exclusivo fin de: (i) validar la existencia, estatus activo y titularidad de la cuenta bancaria indicada por </w:t>
      </w:r>
      <w:r>
        <w:rPr>
          <w:b/>
          <w:bCs/>
        </w:rPr>
        <w:t xml:space="preserve">EL TITULAR</w:t>
      </w:r>
      <w:r>
        <w:t xml:space="preserve">, y (ii) prevenir el fraude de identidad, el uso indebido de instrumentos financieros y apoyar el cumplimiento de las normas de Prevención y Control de Legitimación de Capitales y Financiamiento al Terrorismo.</w:t>
      </w:r>
    </w:p>
    <w:p>
      <w:pPr>
        <w:pStyle w:val="ListParagraph"/>
        <w:numPr>
          <w:ilvl w:val="0"/>
          <w:numId w:val="2"/>
        </w:numPr>
        <w:spacing w:after="200"/>
      </w:pPr>
      <w:r>
        <w:rPr>
          <w:b/>
          <w:bCs/>
        </w:rPr>
        <w:t xml:space="preserve">EL TITULAR</w:t>
      </w:r>
      <w:r>
        <w:t xml:space="preserve"> autoriza a </w:t>
      </w:r>
      <w:r>
        <w:rPr>
          <w:b/>
          <w:bCs/>
        </w:rPr>
        <w:t xml:space="preserve">EL COMERCIO</w:t>
      </w:r>
      <w:r>
        <w:t xml:space="preserve"> para procesar la Instrucción de Prueba, incluyendo su generación, transmisión, verificación y registro en los sistemas correspondientes. En todo caso, la Instrucción de Prueba será ejecutada bajo parámetros de necesidad y proporcionalidad, sin fines distintos a los aquí indicados.</w:t>
      </w:r>
    </w:p>
    <w:p>
      <w:pPr>
        <w:pStyle w:val="ListParagraph"/>
        <w:numPr>
          <w:ilvl w:val="0"/>
          <w:numId w:val="2"/>
        </w:numPr>
        <w:spacing w:after="200"/>
      </w:pPr>
      <w:r>
        <w:rPr>
          <w:b/>
          <w:bCs/>
        </w:rPr>
        <w:t xml:space="preserve">EL TITULAR</w:t>
      </w:r>
      <w:r>
        <w:t xml:space="preserve"> reconoce y acepta que el monto de la Instrucción de Prueba puede variar ligeramente dependiendo de la entidad bancaria, pero generalmente oscilará entre el Monto Mínimo de </w:t>
      </w:r>
      <w:r>
        <w:rPr>
          <w:b/>
          <w:bCs/>
        </w:rPr>
        <w:t xml:space="preserve">UN BOLÍVAR CON CERO CÉNTIMOS (Bs. 1,00)</w:t>
      </w:r>
      <w:r>
        <w:t xml:space="preserve"> y Monto Máximo de </w:t>
      </w:r>
      <w:r>
        <w:rPr>
          <w:b/>
          <w:bCs/>
        </w:rPr>
        <w:t xml:space="preserve">CIEN BOLÍVARES CON CERO CÉNTIMOS (Bs. 100,00)</w:t>
      </w:r>
      <w:r>
        <w:t xml:space="preserve">, aplicada sobre la cuenta bancaria indicada por </w:t>
      </w:r>
      <w:r>
        <w:rPr>
          <w:b/>
          <w:bCs/>
        </w:rPr>
        <w:t xml:space="preserve">EL TITULAR</w:t>
      </w:r>
      <w:r>
        <w:t xml:space="preserve"> en el proceso de afiliación.</w:t>
      </w:r>
    </w:p>
    <w:p>
      <w:pPr>
        <w:pStyle w:val="ListParagraph"/>
        <w:numPr>
          <w:ilvl w:val="0"/>
          <w:numId w:val="2"/>
        </w:numPr>
        <w:spacing w:after="200"/>
      </w:pPr>
      <w:r>
        <w:t xml:space="preserve">La Instrucción de Prueba no constituye un cobro por servicios, comisión ni tarifa de afiliación; su naturaleza es estrictamente la de una operación de validación de conectividad bancaria también denominada "Ping Tecnológico". En consecuencia, una vez que el sistema bancario confirme que la validación de la cuenta fue exitosa, </w:t>
      </w:r>
      <w:r>
        <w:rPr>
          <w:b/>
          <w:bCs/>
        </w:rPr>
        <w:t xml:space="preserve">EL COMERCIO</w:t>
      </w:r>
      <w:r>
        <w:t xml:space="preserve"> se compromete al reverso o reintegro de dicho cargo de manera automática en un plazo no mayor a 10 días hábiles una vez confirmada la validez de la cuenta.</w:t>
      </w:r>
    </w:p>
    <w:p>
      <w:pPr>
        <w:pStyle w:val="ListParagraph"/>
        <w:numPr>
          <w:ilvl w:val="0"/>
          <w:numId w:val="2"/>
        </w:numPr>
        <w:spacing w:after="200"/>
      </w:pPr>
      <w:r>
        <w:rPr>
          <w:b/>
          <w:bCs/>
        </w:rPr>
        <w:t xml:space="preserve">EL TITULAR</w:t>
      </w:r>
      <w:r>
        <w:t xml:space="preserve"> reconoce y acepta que esta operación podrá aparecer en su estado de cuenta bancario identificada bajo el nombre de </w:t>
      </w:r>
      <w:r>
        <w:rPr>
          <w:b/>
          <w:bCs/>
        </w:rPr>
        <w:t xml:space="preserve">EL COMERCIO</w:t>
      </w:r>
      <w:r>
        <w:t xml:space="preserve">, tanto en el débito (salida) como en el crédito (reintegro).</w:t>
      </w:r>
    </w:p>
    <w:p>
      <w:pPr>
        <w:pStyle w:val="ListParagraph"/>
        <w:numPr>
          <w:ilvl w:val="0"/>
          <w:numId w:val="2"/>
        </w:numPr>
        <w:spacing w:after="200"/>
      </w:pPr>
      <w:r>
        <w:rPr>
          <w:b/>
          <w:bCs/>
        </w:rPr>
        <w:t xml:space="preserve">EL TITULAR</w:t>
      </w:r>
      <w:r>
        <w:t xml:space="preserve"> podrá dirigir cualquier reclamo sobre la no devolución del monto de validación a </w:t>
      </w:r>
      <w:r>
        <w:rPr>
          <w:b/>
          <w:bCs/>
        </w:rPr>
        <w:t xml:space="preserve">EL COMERCIO</w:t>
      </w:r>
      <w:r>
        <w:t xml:space="preserve"> a través de los canales de atención disponibles en </w:t>
      </w:r>
      <w:r>
        <w:rPr>
          <w:b/>
          <w:bCs/>
        </w:rPr>
        <w:t xml:space="preserve">EL COMERCIO</w:t>
      </w:r>
      <w:r>
        <w:t xml:space="preserve"> disponibles en www.boneappetit.food.</w:t>
      </w:r>
    </w:p>
    <w:p>
      <w:pPr>
        <w:pStyle w:val="Heading2"/>
      </w:pPr>
      <w:r>
        <w:rPr>
          <w:b/>
          <w:bCs/>
        </w:rPr>
        <w:t xml:space="preserve">CLÁUSULA 3. AUTORIZACIÓN DE COBROS RECURRENTES.</w:t>
      </w:r>
    </w:p>
    <w:p>
      <w:pPr>
        <w:pStyle w:val="ListParagraph"/>
        <w:numPr>
          <w:ilvl w:val="0"/>
          <w:numId w:val="2"/>
        </w:numPr>
        <w:spacing w:after="200"/>
      </w:pPr>
      <w:r>
        <w:rPr>
          <w:b/>
          <w:bCs/>
        </w:rPr>
        <w:t xml:space="preserve">EL TITULAR</w:t>
      </w:r>
      <w:r>
        <w:t xml:space="preserve"> reconoce y autoriza que, una vez validada la cuenta, </w:t>
      </w:r>
      <w:r>
        <w:rPr>
          <w:b/>
          <w:bCs/>
        </w:rPr>
        <w:t xml:space="preserve">EL COMERCIO</w:t>
      </w:r>
      <w:r>
        <w:t xml:space="preserve"> debite automáticamente el monto correspondiente a su plan de suscripción actual de alimentación para mascotas en la fecha de corte establecida según el ciclo de entrega seleccionado por </w:t>
      </w:r>
      <w:r>
        <w:rPr>
          <w:b/>
          <w:bCs/>
        </w:rPr>
        <w:t xml:space="preserve">EL TITULAR</w:t>
      </w:r>
      <w:r>
        <w:t xml:space="preserve">.</w:t>
      </w:r>
    </w:p>
    <w:p>
      <w:pPr>
        <w:pStyle w:val="Heading2"/>
      </w:pPr>
      <w:r>
        <w:rPr>
          <w:b/>
          <w:bCs/>
        </w:rPr>
        <w:t xml:space="preserve">CLÁUSULA 4. MODIFICACIÓN DE PLANES Y PRECIOS.</w:t>
      </w:r>
    </w:p>
    <w:p>
      <w:pPr>
        <w:pStyle w:val="ListParagraph"/>
        <w:numPr>
          <w:ilvl w:val="0"/>
          <w:numId w:val="2"/>
        </w:numPr>
        <w:spacing w:after="200"/>
      </w:pPr>
      <w:r>
        <w:rPr>
          <w:b/>
          <w:bCs/>
        </w:rPr>
        <w:t xml:space="preserve">Cambio de Plan (Upgrade/Downgrade): </w:t>
      </w:r>
      <w:r>
        <w:t xml:space="preserve">Si </w:t>
      </w:r>
      <w:r>
        <w:rPr>
          <w:b/>
          <w:bCs/>
        </w:rPr>
        <w:t xml:space="preserve">EL TITULAR</w:t>
      </w:r>
      <w:r>
        <w:t xml:space="preserve"> cambia a un plan inferior o superior (por ejemplo, modificando la cantidad de mascotas, porciones o frecuencia de entrega), autoriza automáticamente a </w:t>
      </w:r>
      <w:r>
        <w:rPr>
          <w:b/>
          <w:bCs/>
        </w:rPr>
        <w:t xml:space="preserve">EL COMERCIO</w:t>
      </w:r>
      <w:r>
        <w:t xml:space="preserve"> a ajustar el monto del débito directo para reflejar el nuevo precio acordado en la plataforma de </w:t>
      </w:r>
      <w:r>
        <w:rPr>
          <w:b/>
          <w:bCs/>
        </w:rPr>
        <w:t xml:space="preserve">EL COMERCIO</w:t>
      </w:r>
      <w:r>
        <w:t xml:space="preserve">.</w:t>
      </w:r>
    </w:p>
    <w:p>
      <w:pPr>
        <w:pStyle w:val="ListParagraph"/>
        <w:numPr>
          <w:ilvl w:val="0"/>
          <w:numId w:val="2"/>
        </w:numPr>
        <w:spacing w:after="200"/>
      </w:pPr>
      <w:r>
        <w:rPr>
          <w:b/>
          <w:bCs/>
        </w:rPr>
        <w:t xml:space="preserve">Ajustes de Precios: EL COMERCIO</w:t>
      </w:r>
      <w:r>
        <w:t xml:space="preserve"> se reserva el derecho de modificar las tarifas del Servicio. Sin embargo, cualquier cambio de precio será notificado a </w:t>
      </w:r>
      <w:r>
        <w:rPr>
          <w:b/>
          <w:bCs/>
        </w:rPr>
        <w:t xml:space="preserve">EL TITULAR</w:t>
      </w:r>
      <w:r>
        <w:t xml:space="preserve"> con al menos 30 días continuos de antelación vía correo electrónico (pudiendo complementarse con notificación por WhatsApp). Si </w:t>
      </w:r>
      <w:r>
        <w:rPr>
          <w:b/>
          <w:bCs/>
        </w:rPr>
        <w:t xml:space="preserve">EL TITULAR</w:t>
      </w:r>
      <w:r>
        <w:t xml:space="preserve"> no cancela la suscripción o afiliación del Servicio antes de la entrada en vigor del nuevo precio, se entenderá que autoriza el débito del nuevo monto.</w:t>
      </w:r>
    </w:p>
    <w:p>
      <w:pPr>
        <w:pStyle w:val="Heading2"/>
      </w:pPr>
      <w:r>
        <w:rPr>
          <w:b/>
          <w:bCs/>
        </w:rPr>
        <w:t xml:space="preserve">CLÁUSULA 5. GESTIÓN DE MÉTODOS DE PAGO.</w:t>
      </w:r>
    </w:p>
    <w:p>
      <w:pPr>
        <w:pStyle w:val="ListParagraph"/>
        <w:numPr>
          <w:ilvl w:val="0"/>
          <w:numId w:val="2"/>
        </w:numPr>
        <w:spacing w:after="200"/>
      </w:pPr>
      <w:r>
        <w:rPr>
          <w:b/>
          <w:bCs/>
        </w:rPr>
        <w:t xml:space="preserve">Desafiliación y Cambio de Cuenta: EL TITULAR</w:t>
      </w:r>
      <w:r>
        <w:t xml:space="preserve"> puede desafiliar su cuenta bancaria actual y afiliar una nueva en cualquier momento desde su panel de configuración en la plataforma de </w:t>
      </w:r>
      <w:r>
        <w:rPr>
          <w:b/>
          <w:bCs/>
        </w:rPr>
        <w:t xml:space="preserve">EL COMERCIO</w:t>
      </w:r>
      <w:r>
        <w:t xml:space="preserve">. Al afiliar una nueva cuenta, se activará nuevamente el proceso de Validación de Seguridad descrito en la Cláusula 2 (incluyendo el cargo reembolsable) para la nueva cuenta.</w:t>
      </w:r>
    </w:p>
    <w:p>
      <w:pPr>
        <w:pStyle w:val="ListParagraph"/>
        <w:numPr>
          <w:ilvl w:val="0"/>
          <w:numId w:val="2"/>
        </w:numPr>
        <w:spacing w:after="200"/>
      </w:pPr>
      <w:r>
        <w:rPr>
          <w:b/>
          <w:bCs/>
        </w:rPr>
        <w:t xml:space="preserve">Cambio de Método: </w:t>
      </w:r>
      <w:r>
        <w:t xml:space="preserve">Esta autorización no impide que </w:t>
      </w:r>
      <w:r>
        <w:rPr>
          <w:b/>
          <w:bCs/>
        </w:rPr>
        <w:t xml:space="preserve">EL TITULAR</w:t>
      </w:r>
      <w:r>
        <w:t xml:space="preserve"> decida cambiar su método de pago preferido a Pago Móvil, Tarjeta de Crédito, Zelle u otro medio disponible en la plataforma, lo cual detendrá los débitos directos a la cuenta bancaria para futuros ciclos.</w:t>
      </w:r>
    </w:p>
    <w:p>
      <w:pPr>
        <w:pStyle w:val="Heading2"/>
      </w:pPr>
      <w:r>
        <w:rPr>
          <w:b/>
          <w:bCs/>
        </w:rPr>
        <w:t xml:space="preserve">CLÁUSULA 6. FALLOS EN EL PROCESAMIENTO DE COBRO.</w:t>
      </w:r>
    </w:p>
    <w:p>
      <w:pPr>
        <w:pStyle w:val="ListParagraph"/>
        <w:numPr>
          <w:ilvl w:val="0"/>
          <w:numId w:val="2"/>
        </w:numPr>
        <w:spacing w:after="200"/>
      </w:pPr>
      <w:r>
        <w:t xml:space="preserve">Si el débito es rechazado por fondos insuficientes o problemas técnicos del banco de </w:t>
      </w:r>
      <w:r>
        <w:rPr>
          <w:b/>
          <w:bCs/>
        </w:rPr>
        <w:t xml:space="preserve">EL TITULAR</w:t>
      </w:r>
      <w:r>
        <w:t xml:space="preserve">, </w:t>
      </w:r>
      <w:r>
        <w:rPr>
          <w:b/>
          <w:bCs/>
        </w:rPr>
        <w:t xml:space="preserve">EL COMERCIO</w:t>
      </w:r>
      <w:r>
        <w:t xml:space="preserve"> se reserva el derecho de reintentar el cobro según los límites aplicables y, en su caso, aplicar una tarifa administrativa por los cargos bancarios que se pudieran generar. En caso de fallos reiterados, </w:t>
      </w:r>
      <w:r>
        <w:rPr>
          <w:b/>
          <w:bCs/>
        </w:rPr>
        <w:t xml:space="preserve">EL COMERCIO</w:t>
      </w:r>
      <w:r>
        <w:t xml:space="preserve"> podrá suspender la entrega del Servicio hasta que se regularice el pago.</w:t>
      </w:r>
    </w:p>
    <w:p>
      <w:pPr>
        <w:pStyle w:val="Heading2"/>
      </w:pPr>
      <w:r>
        <w:rPr>
          <w:b/>
          <w:bCs/>
        </w:rPr>
        <w:t xml:space="preserve">CLÁUSULA 7. CONSENTIMIENTO ELECTRÓNICO (CLICKWRAP).</w:t>
      </w:r>
    </w:p>
    <w:p>
      <w:pPr>
        <w:pStyle w:val="ListParagraph"/>
        <w:numPr>
          <w:ilvl w:val="0"/>
          <w:numId w:val="2"/>
        </w:numPr>
        <w:spacing w:after="200"/>
      </w:pPr>
      <w:r>
        <w:rPr>
          <w:b/>
          <w:bCs/>
        </w:rPr>
        <w:t xml:space="preserve">EL TITULAR</w:t>
      </w:r>
      <w:r>
        <w:t xml:space="preserve"> reconoce y acepta que su voluntad de autorizar a </w:t>
      </w:r>
      <w:r>
        <w:rPr>
          <w:b/>
          <w:bCs/>
        </w:rPr>
        <w:t xml:space="preserve">EL COMERCIO</w:t>
      </w:r>
      <w:r>
        <w:t xml:space="preserve"> previsto en este instrumento, así como de obligarse en los términos aquí establecidos, se manifiesta por vía electrónica, mediante la acción afirmativa de hacer "clic" en el botón "Afiliar o Domiciliar Cuenta". Dicha acción constituye (i) autorización expresa a favor de </w:t>
      </w:r>
      <w:r>
        <w:rPr>
          <w:b/>
          <w:bCs/>
        </w:rPr>
        <w:t xml:space="preserve">EL COMERCIO</w:t>
      </w:r>
      <w:r>
        <w:t xml:space="preserve"> para los fines descritos en la CLÁUSULA 1, (ii) aceptación expresa de las condiciones aplicables a la domiciliación de la cuenta, y (iii) autorización para iniciar y ejecutar los procedimientos asociados. Las partes reconocen que esta manifestación de voluntad se emite mediante mensaje de datos y tendrá plena validez y eficacia conforme a la Ley sobre Mensajes de Datos y Firmas Electrónicas publicada en la Gaceta Oficial N° 37.076 del 13 de diciembre de 2000.</w:t>
      </w:r>
    </w:p>
    <w:p>
      <w:pPr>
        <w:pStyle w:val="ListParagraph"/>
        <w:numPr>
          <w:ilvl w:val="0"/>
          <w:numId w:val="2"/>
        </w:numPr>
        <w:spacing w:after="200"/>
      </w:pPr>
      <w:r>
        <w:t xml:space="preserve">Al hacer "clic" en el botón indicado, </w:t>
      </w:r>
      <w:r>
        <w:rPr>
          <w:b/>
          <w:bCs/>
        </w:rPr>
        <w:t xml:space="preserve">EL TITULAR</w:t>
      </w:r>
      <w:r>
        <w:t xml:space="preserve"> otorga su consentimiento pleno para la ejecución del procedimiento de validación descrito en la CLÁUSULA 2. </w:t>
      </w:r>
      <w:r>
        <w:rPr>
          <w:b/>
          <w:bCs/>
        </w:rPr>
        <w:t xml:space="preserve">EL TITULAR</w:t>
      </w:r>
      <w:r>
        <w:t xml:space="preserve"> declara entender que dicho procedimiento tiene como finalidad reforzar la seguridad de sus transacciones futuras.</w:t>
      </w:r>
    </w:p>
    <w:p>
      <w:pPr>
        <w:pStyle w:val="ListParagraph"/>
        <w:numPr>
          <w:ilvl w:val="0"/>
          <w:numId w:val="2"/>
        </w:numPr>
        <w:spacing w:after="200"/>
      </w:pPr>
      <w:r>
        <w:rPr>
          <w:b/>
          <w:bCs/>
        </w:rPr>
        <w:t xml:space="preserve">EL TITULAR</w:t>
      </w:r>
      <w:r>
        <w:t xml:space="preserve"> acepta que los registros electrónicos y evidencias técnicas asociadas a su aceptación y al procedimiento podrán ser conservados por </w:t>
      </w:r>
      <w:r>
        <w:rPr>
          <w:b/>
          <w:bCs/>
        </w:rPr>
        <w:t xml:space="preserve">EL COMERCIO</w:t>
      </w:r>
      <w:r>
        <w:t xml:space="preserve">, y podrán ser utilizados como medio de prueba conforme a la ley.</w:t>
      </w:r>
    </w:p>
    <w:p>
      <w:pPr>
        <w:pStyle w:val="Heading2"/>
      </w:pPr>
      <w:r>
        <w:rPr>
          <w:b/>
          <w:bCs/>
        </w:rPr>
        <w:t xml:space="preserve">CLÁUSULA 8. RESPONSABILIDAD.</w:t>
      </w:r>
    </w:p>
    <w:p>
      <w:pPr>
        <w:pStyle w:val="ListParagraph"/>
        <w:numPr>
          <w:ilvl w:val="0"/>
          <w:numId w:val="2"/>
        </w:numPr>
        <w:spacing w:after="200"/>
      </w:pPr>
      <w:r>
        <w:rPr>
          <w:b/>
          <w:bCs/>
        </w:rPr>
        <w:t xml:space="preserve">EL COMERCIO</w:t>
      </w:r>
      <w:r>
        <w:t xml:space="preserve"> sólo será responsable ante </w:t>
      </w:r>
      <w:r>
        <w:rPr>
          <w:b/>
          <w:bCs/>
        </w:rPr>
        <w:t xml:space="preserve">EL TITULAR</w:t>
      </w:r>
      <w:r>
        <w:t xml:space="preserve"> por los daños y perjuicios directos causados por negligencia grave o dolo en la ejecución de las obligaciones establecidas en este instrumento.</w:t>
      </w:r>
    </w:p>
    <w:p>
      <w:pPr>
        <w:pStyle w:val="ListParagraph"/>
        <w:numPr>
          <w:ilvl w:val="0"/>
          <w:numId w:val="2"/>
        </w:numPr>
        <w:spacing w:after="200"/>
      </w:pPr>
      <w:r>
        <w:t xml:space="preserve">Cualquier reclamación relacionada con la calidad, montos, condiciones o cualquier otro aspecto derivado de la domiciliación sobre la cuenta bancaria de </w:t>
      </w:r>
      <w:r>
        <w:rPr>
          <w:b/>
          <w:bCs/>
        </w:rPr>
        <w:t xml:space="preserve">EL TITULAR</w:t>
      </w:r>
      <w:r>
        <w:t xml:space="preserve">, deberá ser dirigida a </w:t>
      </w:r>
      <w:r>
        <w:rPr>
          <w:b/>
          <w:bCs/>
        </w:rPr>
        <w:t xml:space="preserve">EL COMERCIO</w:t>
      </w:r>
      <w:r>
        <w:t xml:space="preserve"> a través de los canales de atención disponibles en www.boneappetit.food.</w:t>
      </w:r>
    </w:p>
    <w:p>
      <w:pPr>
        <w:pStyle w:val="Heading2"/>
      </w:pPr>
      <w:r>
        <w:rPr>
          <w:b/>
          <w:bCs/>
        </w:rPr>
        <w:t xml:space="preserve">CLÁUSULA 9. REVOCATORIA Y CANCELACIÓN DE LA DOMICILIACIÓN.</w:t>
      </w:r>
    </w:p>
    <w:p>
      <w:pPr>
        <w:pStyle w:val="ListParagraph"/>
        <w:numPr>
          <w:ilvl w:val="0"/>
          <w:numId w:val="2"/>
        </w:numPr>
        <w:spacing w:after="200"/>
      </w:pPr>
      <w:r>
        <w:rPr>
          <w:b/>
          <w:bCs/>
        </w:rPr>
        <w:t xml:space="preserve">EL TITULAR</w:t>
      </w:r>
      <w:r>
        <w:t xml:space="preserve"> podrá revocar la presente AUTORIZACIÓN en cualquier momento, haciendo clic en la opción "Cancelar Domiciliación" disponible en la interfaz de </w:t>
      </w:r>
      <w:r>
        <w:rPr>
          <w:b/>
          <w:bCs/>
        </w:rPr>
        <w:t xml:space="preserve">EL COMERCIO</w:t>
      </w:r>
      <w:r>
        <w:t xml:space="preserve">, notificando directamente a </w:t>
      </w:r>
      <w:r>
        <w:rPr>
          <w:b/>
          <w:bCs/>
        </w:rPr>
        <w:t xml:space="preserve">EL COMERCIO</w:t>
      </w:r>
      <w:r>
        <w:t xml:space="preserve"> o ingresando en su banca en línea y deshabilitando la afiliación de la domiciliación de su cuenta bancaria.</w:t>
      </w:r>
    </w:p>
    <w:p>
      <w:pPr>
        <w:pStyle w:val="ListParagraph"/>
        <w:numPr>
          <w:ilvl w:val="0"/>
          <w:numId w:val="2"/>
        </w:numPr>
        <w:spacing w:after="200"/>
      </w:pPr>
      <w:r>
        <w:t xml:space="preserve">La revocación tendrá efectos inmediatos para instrucciones futuras. No obstante, </w:t>
      </w:r>
      <w:r>
        <w:rPr>
          <w:b/>
          <w:bCs/>
        </w:rPr>
        <w:t xml:space="preserve">EL TITULAR</w:t>
      </w:r>
      <w:r>
        <w:t xml:space="preserve"> reconoce y acepta que: (a) Cualquier instrucción de débito en curso antes del momento exacto de la cancelación, seguirá su curso de compensación y liquidación, no siendo posible detener dicho proceso técnico una vez iniciado; (b) La cancelación de la domiciliación no extingue, modifica ni cancela las obligaciones de pago pendientes que </w:t>
      </w:r>
      <w:r>
        <w:rPr>
          <w:b/>
          <w:bCs/>
        </w:rPr>
        <w:t xml:space="preserve">EL TITULAR</w:t>
      </w:r>
      <w:r>
        <w:t xml:space="preserve"> mantenga con </w:t>
      </w:r>
      <w:r>
        <w:rPr>
          <w:b/>
          <w:bCs/>
        </w:rPr>
        <w:t xml:space="preserve">EL COMERCIO</w:t>
      </w:r>
      <w:r>
        <w:t xml:space="preserve">; (c) La cancelación de la domiciliación no implica la cancelación de la suscripción al Servicio de alimentación para mascotas.</w:t>
      </w:r>
    </w:p>
    <w:p>
      <w:pPr>
        <w:pStyle w:val="ListParagraph"/>
        <w:numPr>
          <w:ilvl w:val="0"/>
          <w:numId w:val="2"/>
        </w:numPr>
        <w:spacing w:after="200"/>
      </w:pPr>
      <w:r>
        <w:rPr>
          <w:b/>
          <w:bCs/>
        </w:rPr>
        <w:t xml:space="preserve">EL TITULAR</w:t>
      </w:r>
      <w:r>
        <w:t xml:space="preserve"> será el único responsable de gestionar métodos de pago alternativos para saldar dichas deudas.</w:t>
      </w:r>
    </w:p>
    <w:p>
      <w:pPr>
        <w:pStyle w:val="Heading2"/>
      </w:pPr>
      <w:r>
        <w:rPr>
          <w:b/>
          <w:bCs/>
        </w:rPr>
        <w:t xml:space="preserve">CLÁUSULA 10. NOTIFICACIONES POR MEDIOS ELECTRÓNICOS.</w:t>
      </w:r>
    </w:p>
    <w:p>
      <w:pPr>
        <w:pStyle w:val="ListParagraph"/>
        <w:numPr>
          <w:ilvl w:val="0"/>
          <w:numId w:val="2"/>
        </w:numPr>
        <w:spacing w:after="200"/>
      </w:pPr>
      <w:r>
        <w:rPr>
          <w:b/>
          <w:bCs/>
        </w:rPr>
        <w:t xml:space="preserve">EL TITULAR</w:t>
      </w:r>
      <w:r>
        <w:t xml:space="preserve"> reconoce y acepta que las instrucciones de débito directo (domiciliación), así como las comunicaciones y actuaciones operativas necesarias para su gestión sobre la cuenta bancaria indicada en el proceso de afiliación, se realizarán exclusivamente por medios electrónicos, mediante Mensajes de Datos, de conformidad con la Ley sobre Mensajes de Datos y Firmas Electrónicas, en especial lo relativo al cumplimiento de formalidades por medios electrónicos, su eficacia probatoria y los requisitos de constancia por escrito y conservación.</w:t>
      </w:r>
    </w:p>
    <w:p>
      <w:pPr>
        <w:pStyle w:val="ListParagraph"/>
        <w:numPr>
          <w:ilvl w:val="0"/>
          <w:numId w:val="2"/>
        </w:numPr>
        <w:spacing w:after="200"/>
      </w:pPr>
      <w:r>
        <w:rPr>
          <w:b/>
          <w:bCs/>
        </w:rPr>
        <w:t xml:space="preserve">EL TITULAR</w:t>
      </w:r>
      <w:r>
        <w:t xml:space="preserve"> acepta expresamente que toda notificación, aviso o comunicación relativa a la domiciliación de pagos de Servicios, será realizada exclusivamente por medios electrónicos, mediante mensaje de datos remitido a la dirección de correo electrónico suministrada por </w:t>
      </w:r>
      <w:r>
        <w:rPr>
          <w:b/>
          <w:bCs/>
        </w:rPr>
        <w:t xml:space="preserve">EL TITULAR</w:t>
      </w:r>
      <w:r>
        <w:t xml:space="preserve"> en el proceso de afiliación, la cual designa como su sistema de información para la recepción de dichas comunicaciones.</w:t>
      </w:r>
    </w:p>
    <w:p>
      <w:pPr>
        <w:pStyle w:val="ListParagraph"/>
        <w:numPr>
          <w:ilvl w:val="0"/>
          <w:numId w:val="2"/>
        </w:numPr>
        <w:spacing w:after="200"/>
      </w:pPr>
      <w:r>
        <w:rPr>
          <w:b/>
          <w:bCs/>
        </w:rPr>
        <w:t xml:space="preserve">EL TITULAR</w:t>
      </w:r>
      <w:r>
        <w:t xml:space="preserve"> se obliga a mantener operativa, vigente y bajo su control la dirección de correo electrónico indicada y a notificar por escrito cualquier cambio de la misma. En caso de no hacerlo, se tendrán por válidamente recibidas las notificaciones enviadas a la última dirección reportada por </w:t>
      </w:r>
      <w:r>
        <w:rPr>
          <w:b/>
          <w:bCs/>
        </w:rPr>
        <w:t xml:space="preserve">EL TITULAR</w:t>
      </w:r>
      <w:r>
        <w:t xml:space="preserve">.</w:t>
      </w:r>
    </w:p>
    <w:p>
      <w:pPr>
        <w:pStyle w:val="Heading2"/>
      </w:pPr>
      <w:r>
        <w:rPr>
          <w:b/>
          <w:bCs/>
        </w:rPr>
        <w:t xml:space="preserve">CLÁUSULA 11. LEGISLACIÓN APLICABLE.</w:t>
      </w:r>
    </w:p>
    <w:p>
      <w:pPr>
        <w:pStyle w:val="ListParagraph"/>
        <w:numPr>
          <w:ilvl w:val="0"/>
          <w:numId w:val="2"/>
        </w:numPr>
        <w:spacing w:after="200"/>
      </w:pPr>
      <w:r>
        <w:t xml:space="preserve">La presente AUTORIZACIÓN, así como el otorgamiento y ejecución del mismo, se regirá e interpretará de conformidad con las leyes de la República Bolivariana de Venezuela. Para todos los asuntos derivados de este instrumento, incluyendo su validez, interpretación, ejecución, cumplimiento o terminación, </w:t>
      </w:r>
      <w:r>
        <w:rPr>
          <w:b/>
          <w:bCs/>
        </w:rPr>
        <w:t xml:space="preserve">LAS PARTES</w:t>
      </w:r>
      <w:r>
        <w:t xml:space="preserve"> se someten expresa e irrevocablemente a la jurisdicción de los Tribunales competentes de la Circunscripción Judicial del Área Metropolitana de Caracas, renunciando a cualquier otro fuero que pudiera corresponderles por razón de su domicilio presente o futuro o por cualquier otra causa.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jc w:val="center"/>
      <w:outlineLvl w:val="0"/>
    </w:pPr>
    <w:rPr>
      <w:rFonts w:ascii="Arial" w:cs="Arial" w:eastAsia="Arial" w:hAnsi="Arial"/>
      <w:b/>
      <w:bCs/>
      <w:sz w:val="28"/>
      <w:szCs w:val="28"/>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2026-04-12T17:17:48.774Z</dcterms:created>
  <dcterms:modified xsi:type="dcterms:W3CDTF">2026-04-12T17:17:48.775Z</dcterms:modified>
</cp:coreProperties>
</file>

<file path=docProps/custom.xml><?xml version="1.0" encoding="utf-8"?>
<Properties xmlns="http://schemas.openxmlformats.org/officeDocument/2006/custom-properties" xmlns:vt="http://schemas.openxmlformats.org/officeDocument/2006/docPropsVTypes"/>
</file>