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18897" w14:textId="35A027F6" w:rsidR="00BF688E" w:rsidRPr="00BF688E" w:rsidRDefault="002805B9" w:rsidP="00BF688E">
      <w:pPr>
        <w:pStyle w:val="Ttulo3"/>
        <w:spacing w:before="0" w:after="200"/>
        <w:ind w:firstLine="0"/>
        <w:rPr>
          <w:rFonts w:asciiTheme="minorHAnsi" w:eastAsia="Calibri" w:hAnsiTheme="minorHAnsi"/>
          <w:b/>
          <w:color w:val="auto"/>
          <w:lang w:eastAsia="es-ES"/>
        </w:rPr>
      </w:pPr>
      <w:r>
        <w:rPr>
          <w:rFonts w:asciiTheme="minorHAnsi" w:eastAsia="Calibri" w:hAnsiTheme="minorHAnsi"/>
          <w:b/>
          <w:color w:val="auto"/>
          <w:lang w:eastAsia="es-ES"/>
        </w:rPr>
        <w:t>Análisis de la Tarifa Técnica y las Compensaciones Tarifarias a la Demanda por Grupo Tarifario y Tipo de Usuario.</w:t>
      </w:r>
    </w:p>
    <w:p w14:paraId="14E50431" w14:textId="591372A2" w:rsidR="00BA0413" w:rsidRDefault="009C3A7A" w:rsidP="00620A32">
      <w:pPr>
        <w:widowControl w:val="0"/>
        <w:spacing w:line="360" w:lineRule="auto"/>
        <w:ind w:firstLine="720"/>
        <w:jc w:val="both"/>
        <w:rPr>
          <w:rFonts w:eastAsia="Calibri" w:cs="Times New Roman"/>
          <w:sz w:val="24"/>
          <w:szCs w:val="24"/>
          <w:lang w:eastAsia="es-ES"/>
        </w:rPr>
      </w:pPr>
      <w:r>
        <w:rPr>
          <w:rFonts w:eastAsia="Calibri" w:cs="Times New Roman"/>
          <w:sz w:val="24"/>
          <w:szCs w:val="24"/>
          <w:lang w:eastAsia="es-ES"/>
        </w:rPr>
        <w:t xml:space="preserve">Desde el año 2012 por Resolución Nº975/2012 se establecieron tarifas con atributo social, en principio estableciendo un descuento sobre la tarifa </w:t>
      </w:r>
      <w:r w:rsidR="00AE7B8C">
        <w:rPr>
          <w:rFonts w:eastAsia="Calibri" w:cs="Times New Roman"/>
          <w:sz w:val="24"/>
          <w:szCs w:val="24"/>
          <w:lang w:eastAsia="es-ES"/>
        </w:rPr>
        <w:t xml:space="preserve">plena </w:t>
      </w:r>
      <w:r>
        <w:rPr>
          <w:rFonts w:eastAsia="Calibri" w:cs="Times New Roman"/>
          <w:sz w:val="24"/>
          <w:szCs w:val="24"/>
          <w:lang w:eastAsia="es-ES"/>
        </w:rPr>
        <w:t>del 40% para las personas definidas dentro de esa categoría. En el año 2018, e</w:t>
      </w:r>
      <w:r w:rsidR="004A60BD">
        <w:rPr>
          <w:rFonts w:eastAsia="Calibri" w:cs="Times New Roman"/>
          <w:sz w:val="24"/>
          <w:szCs w:val="24"/>
          <w:lang w:eastAsia="es-ES"/>
        </w:rPr>
        <w:t>l Gobierno incorporó el Sistema de Boleto Integrado, como se mencionó anteriormente</w:t>
      </w:r>
      <w:r w:rsidR="00BA0413">
        <w:rPr>
          <w:rFonts w:eastAsia="Calibri" w:cs="Times New Roman"/>
          <w:sz w:val="24"/>
          <w:szCs w:val="24"/>
          <w:lang w:eastAsia="es-ES"/>
        </w:rPr>
        <w:t>, que e</w:t>
      </w:r>
      <w:r w:rsidR="004A60BD">
        <w:rPr>
          <w:rFonts w:eastAsia="Calibri" w:cs="Times New Roman"/>
          <w:sz w:val="24"/>
          <w:szCs w:val="24"/>
          <w:lang w:eastAsia="es-ES"/>
        </w:rPr>
        <w:t>stablec</w:t>
      </w:r>
      <w:r w:rsidR="00BA0413">
        <w:rPr>
          <w:rFonts w:eastAsia="Calibri" w:cs="Times New Roman"/>
          <w:sz w:val="24"/>
          <w:szCs w:val="24"/>
          <w:lang w:eastAsia="es-ES"/>
        </w:rPr>
        <w:t>e</w:t>
      </w:r>
      <w:r w:rsidR="004A60BD">
        <w:rPr>
          <w:rFonts w:eastAsia="Calibri" w:cs="Times New Roman"/>
          <w:sz w:val="24"/>
          <w:szCs w:val="24"/>
          <w:lang w:eastAsia="es-ES"/>
        </w:rPr>
        <w:t xml:space="preserve"> descuentos </w:t>
      </w:r>
      <w:r w:rsidR="00BA0413">
        <w:rPr>
          <w:rFonts w:eastAsia="Calibri" w:cs="Times New Roman"/>
          <w:sz w:val="24"/>
          <w:szCs w:val="24"/>
          <w:lang w:eastAsia="es-ES"/>
        </w:rPr>
        <w:t xml:space="preserve">del 50% en el 2º viaje y a partir del 3º viaje un 75% </w:t>
      </w:r>
      <w:r w:rsidR="004A60BD">
        <w:rPr>
          <w:rFonts w:eastAsia="Calibri" w:cs="Times New Roman"/>
          <w:sz w:val="24"/>
          <w:szCs w:val="24"/>
          <w:lang w:eastAsia="es-ES"/>
        </w:rPr>
        <w:t xml:space="preserve">durante </w:t>
      </w:r>
      <w:r w:rsidR="00BA0413">
        <w:rPr>
          <w:rFonts w:eastAsia="Calibri" w:cs="Times New Roman"/>
          <w:sz w:val="24"/>
          <w:szCs w:val="24"/>
          <w:lang w:eastAsia="es-ES"/>
        </w:rPr>
        <w:t xml:space="preserve">un lapso de </w:t>
      </w:r>
      <w:r w:rsidR="004A60BD">
        <w:rPr>
          <w:rFonts w:eastAsia="Calibri" w:cs="Times New Roman"/>
          <w:sz w:val="24"/>
          <w:szCs w:val="24"/>
          <w:lang w:eastAsia="es-ES"/>
        </w:rPr>
        <w:t xml:space="preserve">120 minutos </w:t>
      </w:r>
      <w:r w:rsidR="004E6F19">
        <w:rPr>
          <w:rFonts w:eastAsia="Calibri" w:cs="Times New Roman"/>
          <w:sz w:val="24"/>
          <w:szCs w:val="24"/>
          <w:lang w:eastAsia="es-ES"/>
        </w:rPr>
        <w:t>de viaje</w:t>
      </w:r>
      <w:r w:rsidR="00BA0413">
        <w:rPr>
          <w:rFonts w:eastAsia="Calibri" w:cs="Times New Roman"/>
          <w:sz w:val="24"/>
          <w:szCs w:val="24"/>
          <w:lang w:eastAsia="es-ES"/>
        </w:rPr>
        <w:t>, en el cual se puede combinar distintos modos de trasporte.</w:t>
      </w:r>
    </w:p>
    <w:p w14:paraId="1A3F452D" w14:textId="58E591C3" w:rsidR="00EB751B" w:rsidRPr="00EB751B" w:rsidRDefault="00BA0413" w:rsidP="00EB751B">
      <w:pPr>
        <w:widowControl w:val="0"/>
        <w:spacing w:line="360" w:lineRule="auto"/>
        <w:ind w:firstLine="720"/>
        <w:jc w:val="both"/>
        <w:rPr>
          <w:rFonts w:eastAsia="Calibri" w:cs="Times New Roman"/>
          <w:sz w:val="24"/>
          <w:szCs w:val="24"/>
          <w:lang w:eastAsia="es-ES"/>
        </w:rPr>
      </w:pPr>
      <w:r>
        <w:rPr>
          <w:rFonts w:eastAsia="Calibri" w:cs="Times New Roman"/>
          <w:sz w:val="24"/>
          <w:szCs w:val="24"/>
          <w:lang w:eastAsia="es-ES"/>
        </w:rPr>
        <w:t>En el caso, de l</w:t>
      </w:r>
      <w:r w:rsidR="0070499F">
        <w:rPr>
          <w:rFonts w:eastAsia="Calibri" w:cs="Times New Roman"/>
          <w:sz w:val="24"/>
          <w:szCs w:val="24"/>
          <w:lang w:eastAsia="es-ES"/>
        </w:rPr>
        <w:t xml:space="preserve">os usuarios </w:t>
      </w:r>
      <w:r w:rsidR="00253D42">
        <w:rPr>
          <w:rFonts w:eastAsia="Calibri" w:cs="Times New Roman"/>
          <w:sz w:val="24"/>
          <w:szCs w:val="24"/>
          <w:lang w:eastAsia="es-ES"/>
        </w:rPr>
        <w:t>comprendidos dentro de a</w:t>
      </w:r>
      <w:r w:rsidR="0070499F">
        <w:rPr>
          <w:rFonts w:eastAsia="Calibri" w:cs="Times New Roman"/>
          <w:sz w:val="24"/>
          <w:szCs w:val="24"/>
          <w:lang w:eastAsia="es-ES"/>
        </w:rPr>
        <w:t>l</w:t>
      </w:r>
      <w:r w:rsidR="00253D42">
        <w:rPr>
          <w:rFonts w:eastAsia="Calibri" w:cs="Times New Roman"/>
          <w:sz w:val="24"/>
          <w:szCs w:val="24"/>
          <w:lang w:eastAsia="es-ES"/>
        </w:rPr>
        <w:t>gún grupo de afinidad</w:t>
      </w:r>
      <w:r>
        <w:rPr>
          <w:rFonts w:eastAsia="Calibri" w:cs="Times New Roman"/>
          <w:sz w:val="24"/>
          <w:szCs w:val="24"/>
          <w:lang w:eastAsia="es-ES"/>
        </w:rPr>
        <w:t xml:space="preserve"> </w:t>
      </w:r>
      <w:r w:rsidR="00253D42">
        <w:rPr>
          <w:rFonts w:eastAsia="Calibri" w:cs="Times New Roman"/>
          <w:sz w:val="24"/>
          <w:szCs w:val="24"/>
          <w:lang w:eastAsia="es-ES"/>
        </w:rPr>
        <w:t xml:space="preserve">y/o atributo social </w:t>
      </w:r>
      <w:r w:rsidR="0070499F">
        <w:rPr>
          <w:rFonts w:eastAsia="Calibri" w:cs="Times New Roman"/>
          <w:sz w:val="24"/>
          <w:szCs w:val="24"/>
          <w:lang w:eastAsia="es-ES"/>
        </w:rPr>
        <w:t xml:space="preserve">gozan de un </w:t>
      </w:r>
      <w:r w:rsidR="004E6F19">
        <w:rPr>
          <w:rFonts w:eastAsia="Calibri" w:cs="Times New Roman"/>
          <w:sz w:val="24"/>
          <w:szCs w:val="24"/>
          <w:lang w:eastAsia="es-ES"/>
        </w:rPr>
        <w:t>descuento</w:t>
      </w:r>
      <w:r w:rsidR="0070499F">
        <w:rPr>
          <w:rFonts w:eastAsia="Calibri" w:cs="Times New Roman"/>
          <w:sz w:val="24"/>
          <w:szCs w:val="24"/>
          <w:lang w:eastAsia="es-ES"/>
        </w:rPr>
        <w:t xml:space="preserve"> di</w:t>
      </w:r>
      <w:r w:rsidR="00253D42">
        <w:rPr>
          <w:rFonts w:eastAsia="Calibri" w:cs="Times New Roman"/>
          <w:sz w:val="24"/>
          <w:szCs w:val="24"/>
          <w:lang w:eastAsia="es-ES"/>
        </w:rPr>
        <w:t xml:space="preserve">recto </w:t>
      </w:r>
      <w:r w:rsidR="004E6F19">
        <w:rPr>
          <w:rFonts w:eastAsia="Calibri" w:cs="Times New Roman"/>
          <w:sz w:val="24"/>
          <w:szCs w:val="24"/>
          <w:lang w:eastAsia="es-ES"/>
        </w:rPr>
        <w:t>del 5</w:t>
      </w:r>
      <w:r w:rsidR="0070499F">
        <w:rPr>
          <w:rFonts w:eastAsia="Calibri" w:cs="Times New Roman"/>
          <w:sz w:val="24"/>
          <w:szCs w:val="24"/>
          <w:lang w:eastAsia="es-ES"/>
        </w:rPr>
        <w:t>5</w:t>
      </w:r>
      <w:r w:rsidR="004E6F19">
        <w:rPr>
          <w:rFonts w:eastAsia="Calibri" w:cs="Times New Roman"/>
          <w:sz w:val="24"/>
          <w:szCs w:val="24"/>
          <w:lang w:eastAsia="es-ES"/>
        </w:rPr>
        <w:t xml:space="preserve">% </w:t>
      </w:r>
      <w:r w:rsidR="00253D42">
        <w:rPr>
          <w:rFonts w:eastAsia="Calibri" w:cs="Times New Roman"/>
          <w:sz w:val="24"/>
          <w:szCs w:val="24"/>
          <w:lang w:eastAsia="es-ES"/>
        </w:rPr>
        <w:t>en las tarifas de los servicios de trans</w:t>
      </w:r>
      <w:r w:rsidR="0070499F">
        <w:rPr>
          <w:rFonts w:eastAsia="Calibri" w:cs="Times New Roman"/>
          <w:sz w:val="24"/>
          <w:szCs w:val="24"/>
          <w:lang w:eastAsia="es-ES"/>
        </w:rPr>
        <w:t>por</w:t>
      </w:r>
      <w:r w:rsidR="00253D42">
        <w:rPr>
          <w:rFonts w:eastAsia="Calibri" w:cs="Times New Roman"/>
          <w:sz w:val="24"/>
          <w:szCs w:val="24"/>
          <w:lang w:eastAsia="es-ES"/>
        </w:rPr>
        <w:t>te urbano y ferroviario</w:t>
      </w:r>
      <w:r w:rsidR="00D913CD">
        <w:rPr>
          <w:rFonts w:eastAsia="Calibri" w:cs="Times New Roman"/>
          <w:sz w:val="24"/>
          <w:szCs w:val="24"/>
          <w:lang w:eastAsia="es-ES"/>
        </w:rPr>
        <w:t xml:space="preserve"> </w:t>
      </w:r>
      <w:r w:rsidR="00D913CD" w:rsidRPr="0003323F">
        <w:rPr>
          <w:rFonts w:eastAsia="Calibri" w:cs="Times New Roman"/>
          <w:sz w:val="24"/>
          <w:szCs w:val="24"/>
          <w:lang w:eastAsia="es-ES"/>
        </w:rPr>
        <w:t xml:space="preserve">que se abonan mediante el uso de la Tarjeta </w:t>
      </w:r>
      <w:r w:rsidR="00D913CD">
        <w:rPr>
          <w:rFonts w:eastAsia="Calibri" w:cs="Times New Roman"/>
          <w:sz w:val="24"/>
          <w:szCs w:val="24"/>
          <w:lang w:eastAsia="es-ES"/>
        </w:rPr>
        <w:t>SUBE</w:t>
      </w:r>
      <w:r w:rsidR="00EB751B">
        <w:rPr>
          <w:rFonts w:eastAsia="Calibri" w:cs="Times New Roman"/>
          <w:sz w:val="24"/>
          <w:szCs w:val="24"/>
          <w:lang w:eastAsia="es-ES"/>
        </w:rPr>
        <w:t xml:space="preserve"> (debidamente personalizada)</w:t>
      </w:r>
      <w:r w:rsidR="00D913CD" w:rsidRPr="0003323F">
        <w:rPr>
          <w:rFonts w:eastAsia="Calibri" w:cs="Times New Roman"/>
          <w:sz w:val="24"/>
          <w:szCs w:val="24"/>
          <w:lang w:eastAsia="es-ES"/>
        </w:rPr>
        <w:t>.</w:t>
      </w:r>
      <w:r w:rsidR="00D913CD">
        <w:rPr>
          <w:rFonts w:eastAsia="Calibri" w:cs="Times New Roman"/>
          <w:sz w:val="24"/>
          <w:szCs w:val="24"/>
          <w:lang w:eastAsia="es-ES"/>
        </w:rPr>
        <w:t xml:space="preserve"> Asimismo</w:t>
      </w:r>
      <w:r w:rsidR="00897832">
        <w:rPr>
          <w:rFonts w:eastAsia="Calibri" w:cs="Times New Roman"/>
          <w:sz w:val="24"/>
          <w:szCs w:val="24"/>
          <w:lang w:eastAsia="es-ES"/>
        </w:rPr>
        <w:t xml:space="preserve">, </w:t>
      </w:r>
      <w:r w:rsidR="00D913CD">
        <w:rPr>
          <w:rFonts w:eastAsia="Calibri" w:cs="Times New Roman"/>
          <w:sz w:val="24"/>
          <w:szCs w:val="24"/>
          <w:lang w:eastAsia="es-ES"/>
        </w:rPr>
        <w:t>cuenta</w:t>
      </w:r>
      <w:r w:rsidR="00897832">
        <w:rPr>
          <w:rFonts w:eastAsia="Calibri" w:cs="Times New Roman"/>
          <w:sz w:val="24"/>
          <w:szCs w:val="24"/>
          <w:lang w:eastAsia="es-ES"/>
        </w:rPr>
        <w:t xml:space="preserve"> con</w:t>
      </w:r>
      <w:r w:rsidR="00AF5E04">
        <w:rPr>
          <w:rFonts w:eastAsia="Calibri" w:cs="Times New Roman"/>
          <w:sz w:val="24"/>
          <w:szCs w:val="24"/>
          <w:lang w:eastAsia="es-ES"/>
        </w:rPr>
        <w:t xml:space="preserve"> los descuentos</w:t>
      </w:r>
      <w:r w:rsidR="0070499F">
        <w:rPr>
          <w:rFonts w:eastAsia="Calibri" w:cs="Times New Roman"/>
          <w:sz w:val="24"/>
          <w:szCs w:val="24"/>
          <w:lang w:eastAsia="es-ES"/>
        </w:rPr>
        <w:t xml:space="preserve"> </w:t>
      </w:r>
      <w:r w:rsidR="00AF5E04">
        <w:rPr>
          <w:rFonts w:eastAsia="Calibri" w:cs="Times New Roman"/>
          <w:sz w:val="24"/>
          <w:szCs w:val="24"/>
          <w:lang w:eastAsia="es-ES"/>
        </w:rPr>
        <w:t>por</w:t>
      </w:r>
      <w:r w:rsidR="0070499F">
        <w:rPr>
          <w:rFonts w:eastAsia="Calibri" w:cs="Times New Roman"/>
          <w:sz w:val="24"/>
          <w:szCs w:val="24"/>
          <w:lang w:eastAsia="es-ES"/>
        </w:rPr>
        <w:t xml:space="preserve"> aplicación del Boleto Integrado</w:t>
      </w:r>
      <w:r w:rsidR="00AF5E04">
        <w:rPr>
          <w:rFonts w:eastAsia="Calibri" w:cs="Times New Roman"/>
          <w:sz w:val="24"/>
          <w:szCs w:val="24"/>
          <w:lang w:eastAsia="es-ES"/>
        </w:rPr>
        <w:t>.</w:t>
      </w:r>
      <w:r w:rsidR="00D913CD">
        <w:rPr>
          <w:rFonts w:eastAsia="Calibri" w:cs="Times New Roman"/>
          <w:sz w:val="24"/>
          <w:szCs w:val="24"/>
          <w:lang w:eastAsia="es-ES"/>
        </w:rPr>
        <w:t xml:space="preserve"> </w:t>
      </w:r>
      <w:r w:rsidR="00253D42" w:rsidRPr="0003323F">
        <w:rPr>
          <w:rFonts w:eastAsia="Calibri" w:cs="Times New Roman"/>
          <w:sz w:val="24"/>
          <w:szCs w:val="24"/>
          <w:lang w:eastAsia="es-ES"/>
        </w:rPr>
        <w:t>Los usuarios que pertenecen los grupos de afinidad son:</w:t>
      </w:r>
      <w:r w:rsidR="00EB751B">
        <w:rPr>
          <w:rFonts w:eastAsia="Calibri" w:cs="Times New Roman"/>
          <w:sz w:val="24"/>
          <w:szCs w:val="24"/>
          <w:lang w:eastAsia="es-ES"/>
        </w:rPr>
        <w:t xml:space="preserve"> “j</w:t>
      </w:r>
      <w:r w:rsidR="00EB751B" w:rsidRPr="00EB751B">
        <w:rPr>
          <w:rFonts w:eastAsia="Calibri" w:cs="Times New Roman"/>
          <w:sz w:val="24"/>
          <w:szCs w:val="24"/>
          <w:lang w:eastAsia="es-ES"/>
        </w:rPr>
        <w:t>ubilados y/o pensionados</w:t>
      </w:r>
      <w:r w:rsidR="00EB751B">
        <w:rPr>
          <w:rFonts w:eastAsia="Calibri" w:cs="Times New Roman"/>
          <w:sz w:val="24"/>
          <w:szCs w:val="24"/>
          <w:lang w:eastAsia="es-ES"/>
        </w:rPr>
        <w:t>”, “b</w:t>
      </w:r>
      <w:r w:rsidR="00EB751B" w:rsidRPr="00EB751B">
        <w:rPr>
          <w:rFonts w:eastAsia="Calibri" w:cs="Times New Roman"/>
          <w:sz w:val="24"/>
          <w:szCs w:val="24"/>
          <w:lang w:eastAsia="es-ES"/>
        </w:rPr>
        <w:t>eneficiarios de la Asignación Universal por Hijo</w:t>
      </w:r>
      <w:r w:rsidR="00EB751B">
        <w:rPr>
          <w:rFonts w:eastAsia="Calibri" w:cs="Times New Roman"/>
          <w:sz w:val="24"/>
          <w:szCs w:val="24"/>
          <w:lang w:eastAsia="es-ES"/>
        </w:rPr>
        <w:t>”, “b</w:t>
      </w:r>
      <w:r w:rsidR="00EB751B" w:rsidRPr="00EB751B">
        <w:rPr>
          <w:rFonts w:eastAsia="Calibri" w:cs="Times New Roman"/>
          <w:sz w:val="24"/>
          <w:szCs w:val="24"/>
          <w:lang w:eastAsia="es-ES"/>
        </w:rPr>
        <w:t>eneficiarios de la Asignación por Embarazo</w:t>
      </w:r>
      <w:r w:rsidR="00EB751B">
        <w:rPr>
          <w:rFonts w:eastAsia="Calibri" w:cs="Times New Roman"/>
          <w:sz w:val="24"/>
          <w:szCs w:val="24"/>
          <w:lang w:eastAsia="es-ES"/>
        </w:rPr>
        <w:t>”; “b</w:t>
      </w:r>
      <w:r w:rsidR="00EB751B" w:rsidRPr="00EB751B">
        <w:rPr>
          <w:rFonts w:eastAsia="Calibri" w:cs="Times New Roman"/>
          <w:sz w:val="24"/>
          <w:szCs w:val="24"/>
          <w:lang w:eastAsia="es-ES"/>
        </w:rPr>
        <w:t>eneficiarios del Programa Jefes de Hogar</w:t>
      </w:r>
      <w:r w:rsidR="00EB751B">
        <w:rPr>
          <w:rFonts w:eastAsia="Calibri" w:cs="Times New Roman"/>
          <w:sz w:val="24"/>
          <w:szCs w:val="24"/>
          <w:lang w:eastAsia="es-ES"/>
        </w:rPr>
        <w:t>”, “</w:t>
      </w:r>
      <w:r w:rsidR="00EB751B" w:rsidRPr="00EB751B">
        <w:rPr>
          <w:rFonts w:eastAsia="Calibri" w:cs="Times New Roman"/>
          <w:sz w:val="24"/>
          <w:szCs w:val="24"/>
          <w:lang w:eastAsia="es-ES"/>
        </w:rPr>
        <w:t>Personal del Trabajo Doméstico</w:t>
      </w:r>
      <w:r w:rsidR="00EB751B">
        <w:rPr>
          <w:rFonts w:eastAsia="Calibri" w:cs="Times New Roman"/>
          <w:sz w:val="24"/>
          <w:szCs w:val="24"/>
          <w:lang w:eastAsia="es-ES"/>
        </w:rPr>
        <w:t>”, “</w:t>
      </w:r>
      <w:r w:rsidR="00EB751B" w:rsidRPr="00EB751B">
        <w:rPr>
          <w:rFonts w:eastAsia="Calibri" w:cs="Times New Roman"/>
          <w:sz w:val="24"/>
          <w:szCs w:val="24"/>
          <w:lang w:eastAsia="es-ES"/>
        </w:rPr>
        <w:t>Veteranos de la Guerra de Malvinas</w:t>
      </w:r>
      <w:r w:rsidR="00EB751B">
        <w:rPr>
          <w:rFonts w:eastAsia="Calibri" w:cs="Times New Roman"/>
          <w:sz w:val="24"/>
          <w:szCs w:val="24"/>
          <w:lang w:eastAsia="es-ES"/>
        </w:rPr>
        <w:t>”, “b</w:t>
      </w:r>
      <w:r w:rsidR="00EB751B" w:rsidRPr="00EB751B">
        <w:rPr>
          <w:rFonts w:eastAsia="Calibri" w:cs="Times New Roman"/>
          <w:sz w:val="24"/>
          <w:szCs w:val="24"/>
          <w:lang w:eastAsia="es-ES"/>
        </w:rPr>
        <w:t>eneficiarios del Programa de Respaldo a Estudiantes Argentinos</w:t>
      </w:r>
      <w:r w:rsidR="00EB751B">
        <w:rPr>
          <w:rFonts w:eastAsia="Calibri" w:cs="Times New Roman"/>
          <w:sz w:val="24"/>
          <w:szCs w:val="24"/>
          <w:lang w:eastAsia="es-ES"/>
        </w:rPr>
        <w:t xml:space="preserve"> </w:t>
      </w:r>
      <w:r w:rsidR="00EB751B" w:rsidRPr="00EB751B">
        <w:rPr>
          <w:rFonts w:eastAsia="Calibri" w:cs="Times New Roman"/>
          <w:sz w:val="24"/>
          <w:szCs w:val="24"/>
          <w:lang w:eastAsia="es-ES"/>
        </w:rPr>
        <w:t>(PROGRESAR)</w:t>
      </w:r>
      <w:r w:rsidR="00EB751B">
        <w:rPr>
          <w:rFonts w:eastAsia="Calibri" w:cs="Times New Roman"/>
          <w:sz w:val="24"/>
          <w:szCs w:val="24"/>
          <w:lang w:eastAsia="es-ES"/>
        </w:rPr>
        <w:t>”, “b</w:t>
      </w:r>
      <w:r w:rsidR="00EB751B" w:rsidRPr="00EB751B">
        <w:rPr>
          <w:rFonts w:eastAsia="Calibri" w:cs="Times New Roman"/>
          <w:sz w:val="24"/>
          <w:szCs w:val="24"/>
          <w:lang w:eastAsia="es-ES"/>
        </w:rPr>
        <w:t>eneficiarios del Programa Ingreso Social con Trabajo</w:t>
      </w:r>
      <w:r w:rsidR="00EB751B">
        <w:rPr>
          <w:rFonts w:eastAsia="Calibri" w:cs="Times New Roman"/>
          <w:sz w:val="24"/>
          <w:szCs w:val="24"/>
          <w:lang w:eastAsia="es-ES"/>
        </w:rPr>
        <w:t>”, “b</w:t>
      </w:r>
      <w:r w:rsidR="00EB751B" w:rsidRPr="00EB751B">
        <w:rPr>
          <w:rFonts w:eastAsia="Calibri" w:cs="Times New Roman"/>
          <w:sz w:val="24"/>
          <w:szCs w:val="24"/>
          <w:lang w:eastAsia="es-ES"/>
        </w:rPr>
        <w:t>eneficiarios de Pensiones No Contributivas</w:t>
      </w:r>
      <w:r w:rsidR="00EB751B">
        <w:rPr>
          <w:rFonts w:eastAsia="Calibri" w:cs="Times New Roman"/>
          <w:sz w:val="24"/>
          <w:szCs w:val="24"/>
          <w:lang w:eastAsia="es-ES"/>
        </w:rPr>
        <w:t>”, “</w:t>
      </w:r>
      <w:proofErr w:type="spellStart"/>
      <w:r w:rsidR="00EB751B" w:rsidRPr="00EB751B">
        <w:rPr>
          <w:rFonts w:eastAsia="Calibri" w:cs="Times New Roman"/>
          <w:sz w:val="24"/>
          <w:szCs w:val="24"/>
          <w:lang w:eastAsia="es-ES"/>
        </w:rPr>
        <w:t>Monotributistas</w:t>
      </w:r>
      <w:proofErr w:type="spellEnd"/>
      <w:r w:rsidR="00EB751B" w:rsidRPr="00EB751B">
        <w:rPr>
          <w:rFonts w:eastAsia="Calibri" w:cs="Times New Roman"/>
          <w:sz w:val="24"/>
          <w:szCs w:val="24"/>
          <w:lang w:eastAsia="es-ES"/>
        </w:rPr>
        <w:t xml:space="preserve"> Sociales inscriptos en el Registro Nacional de Efectores de Desarrollo Local y Economía Social (REDLES)</w:t>
      </w:r>
      <w:r w:rsidR="00EB751B">
        <w:rPr>
          <w:rFonts w:eastAsia="Calibri" w:cs="Times New Roman"/>
          <w:sz w:val="24"/>
          <w:szCs w:val="24"/>
          <w:lang w:eastAsia="es-ES"/>
        </w:rPr>
        <w:t>”</w:t>
      </w:r>
      <w:r w:rsidR="00EB751B" w:rsidRPr="00EB751B">
        <w:rPr>
          <w:rFonts w:eastAsia="Calibri" w:cs="Times New Roman"/>
          <w:sz w:val="24"/>
          <w:szCs w:val="24"/>
          <w:lang w:eastAsia="es-ES"/>
        </w:rPr>
        <w:t>.</w:t>
      </w:r>
    </w:p>
    <w:p w14:paraId="007ECAE5" w14:textId="74B3F524" w:rsidR="00555B76" w:rsidRPr="0003323F" w:rsidRDefault="00555B76" w:rsidP="00555B76">
      <w:pPr>
        <w:widowControl w:val="0"/>
        <w:spacing w:line="360" w:lineRule="auto"/>
        <w:ind w:firstLine="720"/>
        <w:jc w:val="both"/>
        <w:rPr>
          <w:rFonts w:eastAsia="Calibri" w:cs="Times New Roman"/>
          <w:sz w:val="24"/>
          <w:szCs w:val="24"/>
          <w:lang w:eastAsia="es-ES"/>
        </w:rPr>
      </w:pPr>
      <w:r>
        <w:rPr>
          <w:rFonts w:eastAsia="Calibri" w:cs="Times New Roman"/>
          <w:sz w:val="24"/>
          <w:szCs w:val="24"/>
          <w:lang w:eastAsia="es-ES"/>
        </w:rPr>
        <w:t>Cabe señalar, que en la actualidad e</w:t>
      </w:r>
      <w:r w:rsidRPr="0003323F">
        <w:rPr>
          <w:rFonts w:eastAsia="Calibri" w:cs="Times New Roman"/>
          <w:sz w:val="24"/>
          <w:szCs w:val="24"/>
          <w:lang w:eastAsia="es-ES"/>
        </w:rPr>
        <w:t xml:space="preserve">xisten otros tipos de subsidios que se otorgan a los usuarios del </w:t>
      </w:r>
      <w:r>
        <w:rPr>
          <w:rFonts w:eastAsia="Calibri" w:cs="Times New Roman"/>
          <w:sz w:val="24"/>
          <w:szCs w:val="24"/>
          <w:lang w:eastAsia="es-ES"/>
        </w:rPr>
        <w:t>transporte público de pasajeros por automotor</w:t>
      </w:r>
      <w:r w:rsidRPr="0003323F">
        <w:rPr>
          <w:rFonts w:eastAsia="Calibri" w:cs="Times New Roman"/>
          <w:sz w:val="24"/>
          <w:szCs w:val="24"/>
          <w:lang w:eastAsia="es-ES"/>
        </w:rPr>
        <w:t xml:space="preserve">, </w:t>
      </w:r>
      <w:r>
        <w:rPr>
          <w:rFonts w:eastAsia="Calibri" w:cs="Times New Roman"/>
          <w:sz w:val="24"/>
          <w:szCs w:val="24"/>
          <w:lang w:eastAsia="es-ES"/>
        </w:rPr>
        <w:t>que no entran dentro del esquema de algún atributo social</w:t>
      </w:r>
      <w:r w:rsidRPr="0003323F">
        <w:rPr>
          <w:rFonts w:eastAsia="Calibri" w:cs="Times New Roman"/>
          <w:sz w:val="24"/>
          <w:szCs w:val="24"/>
          <w:lang w:eastAsia="es-ES"/>
        </w:rPr>
        <w:t>. Se trata, básicamente</w:t>
      </w:r>
      <w:r w:rsidR="009E70D2">
        <w:rPr>
          <w:rFonts w:eastAsia="Calibri" w:cs="Times New Roman"/>
          <w:sz w:val="24"/>
          <w:szCs w:val="24"/>
          <w:lang w:eastAsia="es-ES"/>
        </w:rPr>
        <w:t xml:space="preserve"> </w:t>
      </w:r>
      <w:r w:rsidRPr="0003323F">
        <w:rPr>
          <w:rFonts w:eastAsia="Calibri" w:cs="Times New Roman"/>
          <w:sz w:val="24"/>
          <w:szCs w:val="24"/>
          <w:lang w:eastAsia="es-ES"/>
        </w:rPr>
        <w:t>de los siguientes:</w:t>
      </w:r>
      <w:r>
        <w:rPr>
          <w:rFonts w:eastAsia="Calibri" w:cs="Times New Roman"/>
          <w:sz w:val="24"/>
          <w:szCs w:val="24"/>
          <w:lang w:eastAsia="es-ES"/>
        </w:rPr>
        <w:t xml:space="preserve"> es</w:t>
      </w:r>
      <w:r w:rsidRPr="0003323F">
        <w:rPr>
          <w:rFonts w:eastAsia="Calibri" w:cs="Times New Roman"/>
          <w:sz w:val="24"/>
          <w:szCs w:val="24"/>
          <w:lang w:eastAsia="es-ES"/>
        </w:rPr>
        <w:t>colares desde el ciclo pre – escolar hasta el primario de escuelas públicas;</w:t>
      </w:r>
      <w:r>
        <w:rPr>
          <w:rFonts w:eastAsia="Calibri" w:cs="Times New Roman"/>
          <w:sz w:val="24"/>
          <w:szCs w:val="24"/>
          <w:lang w:eastAsia="es-ES"/>
        </w:rPr>
        <w:t xml:space="preserve"> e</w:t>
      </w:r>
      <w:r w:rsidRPr="0003323F">
        <w:rPr>
          <w:rFonts w:eastAsia="Calibri" w:cs="Times New Roman"/>
          <w:sz w:val="24"/>
          <w:szCs w:val="24"/>
          <w:lang w:eastAsia="es-ES"/>
        </w:rPr>
        <w:t>studiantes secundarios y terciarios no universitarios de establecimientos públicos y privados con aporte estatal</w:t>
      </w:r>
      <w:r>
        <w:rPr>
          <w:rFonts w:eastAsia="Calibri" w:cs="Times New Roman"/>
          <w:sz w:val="24"/>
          <w:szCs w:val="24"/>
          <w:lang w:eastAsia="es-ES"/>
        </w:rPr>
        <w:t xml:space="preserve"> y d</w:t>
      </w:r>
      <w:r w:rsidRPr="0003323F">
        <w:rPr>
          <w:rFonts w:eastAsia="Calibri" w:cs="Times New Roman"/>
          <w:sz w:val="24"/>
          <w:szCs w:val="24"/>
          <w:lang w:eastAsia="es-ES"/>
        </w:rPr>
        <w:t>iscapacitados.</w:t>
      </w:r>
    </w:p>
    <w:p w14:paraId="25C309DE" w14:textId="2CB7141F" w:rsidR="000F29B6" w:rsidRDefault="00BF688E" w:rsidP="00620A32">
      <w:pPr>
        <w:widowControl w:val="0"/>
        <w:spacing w:line="360" w:lineRule="auto"/>
        <w:ind w:firstLine="720"/>
        <w:jc w:val="both"/>
        <w:rPr>
          <w:rFonts w:eastAsia="Calibri" w:cs="Times New Roman"/>
          <w:sz w:val="24"/>
          <w:szCs w:val="24"/>
          <w:lang w:eastAsia="es-ES"/>
        </w:rPr>
      </w:pPr>
      <w:r>
        <w:rPr>
          <w:rFonts w:eastAsia="Calibri" w:cs="Times New Roman"/>
          <w:sz w:val="24"/>
          <w:szCs w:val="24"/>
          <w:lang w:eastAsia="es-ES"/>
        </w:rPr>
        <w:t xml:space="preserve">A continuación, se expone un cuadro </w:t>
      </w:r>
      <w:r w:rsidR="00EF0B2E">
        <w:rPr>
          <w:rFonts w:eastAsia="Calibri" w:cs="Times New Roman"/>
          <w:sz w:val="24"/>
          <w:szCs w:val="24"/>
          <w:lang w:eastAsia="es-ES"/>
        </w:rPr>
        <w:t xml:space="preserve">por grupo tarifario </w:t>
      </w:r>
      <w:r>
        <w:rPr>
          <w:rFonts w:eastAsia="Calibri" w:cs="Times New Roman"/>
          <w:sz w:val="24"/>
          <w:szCs w:val="24"/>
          <w:lang w:eastAsia="es-ES"/>
        </w:rPr>
        <w:t>que muestra en un mes típico del año 2019, como impactan</w:t>
      </w:r>
      <w:r w:rsidR="00EF0B2E">
        <w:rPr>
          <w:rFonts w:eastAsia="Calibri" w:cs="Times New Roman"/>
          <w:sz w:val="24"/>
          <w:szCs w:val="24"/>
          <w:lang w:eastAsia="es-ES"/>
        </w:rPr>
        <w:t xml:space="preserve"> en los Ingresos por Tarifa Técnica </w:t>
      </w:r>
      <w:r w:rsidR="00827D99">
        <w:rPr>
          <w:rFonts w:eastAsia="Calibri" w:cs="Times New Roman"/>
          <w:sz w:val="24"/>
          <w:szCs w:val="24"/>
          <w:lang w:eastAsia="es-ES"/>
        </w:rPr>
        <w:t>las Compensaciones Tarifarias a la Demanda</w:t>
      </w:r>
      <w:r w:rsidR="00EF0B2E">
        <w:rPr>
          <w:rFonts w:eastAsia="Calibri" w:cs="Times New Roman"/>
          <w:sz w:val="24"/>
          <w:szCs w:val="24"/>
          <w:lang w:eastAsia="es-ES"/>
        </w:rPr>
        <w:t xml:space="preserve"> y </w:t>
      </w:r>
      <w:r w:rsidR="00130AB0">
        <w:rPr>
          <w:rFonts w:eastAsia="Calibri" w:cs="Times New Roman"/>
          <w:sz w:val="24"/>
          <w:szCs w:val="24"/>
          <w:lang w:eastAsia="es-ES"/>
        </w:rPr>
        <w:t>al</w:t>
      </w:r>
      <w:r w:rsidR="00EF0B2E">
        <w:rPr>
          <w:rFonts w:eastAsia="Calibri" w:cs="Times New Roman"/>
          <w:sz w:val="24"/>
          <w:szCs w:val="24"/>
          <w:lang w:eastAsia="es-ES"/>
        </w:rPr>
        <w:t xml:space="preserve"> Boleto Integrado. </w:t>
      </w:r>
      <w:r w:rsidR="00130AB0">
        <w:rPr>
          <w:rFonts w:eastAsia="Calibri" w:cs="Times New Roman"/>
          <w:sz w:val="24"/>
          <w:szCs w:val="24"/>
          <w:lang w:eastAsia="es-ES"/>
        </w:rPr>
        <w:t xml:space="preserve">Si bien, la aplicación del </w:t>
      </w:r>
      <w:r w:rsidR="00130AB0">
        <w:rPr>
          <w:rFonts w:eastAsia="Calibri" w:cs="Times New Roman"/>
          <w:sz w:val="24"/>
          <w:szCs w:val="24"/>
          <w:lang w:eastAsia="es-ES"/>
        </w:rPr>
        <w:lastRenderedPageBreak/>
        <w:t>Boleto Integrado es una Compensación Tarifaria a la Demanda e</w:t>
      </w:r>
      <w:r w:rsidR="000F29B6">
        <w:rPr>
          <w:rFonts w:eastAsia="Calibri" w:cs="Times New Roman"/>
          <w:sz w:val="24"/>
          <w:szCs w:val="24"/>
          <w:lang w:eastAsia="es-ES"/>
        </w:rPr>
        <w:t xml:space="preserve">n este análisis se decidió mostrarlo por separado para distinguir por grupo tarifario su participación dentro de la Tarifa Técnica. </w:t>
      </w:r>
    </w:p>
    <w:p w14:paraId="2E8F80B1" w14:textId="67E9C38C" w:rsidR="00CC5CAB" w:rsidRDefault="00CC5CAB" w:rsidP="00620A32">
      <w:pPr>
        <w:widowControl w:val="0"/>
        <w:spacing w:line="360" w:lineRule="auto"/>
        <w:ind w:firstLine="720"/>
        <w:jc w:val="both"/>
        <w:rPr>
          <w:rFonts w:eastAsia="Calibri" w:cs="Times New Roman"/>
          <w:sz w:val="24"/>
          <w:szCs w:val="24"/>
          <w:lang w:eastAsia="es-ES"/>
        </w:rPr>
      </w:pPr>
      <w:r>
        <w:rPr>
          <w:rFonts w:eastAsia="Calibri" w:cs="Times New Roman"/>
          <w:sz w:val="24"/>
          <w:szCs w:val="24"/>
          <w:lang w:eastAsia="es-ES"/>
        </w:rPr>
        <w:t>En este marco</w:t>
      </w:r>
      <w:r w:rsidR="005D604F">
        <w:rPr>
          <w:rFonts w:eastAsia="Calibri" w:cs="Times New Roman"/>
          <w:sz w:val="24"/>
          <w:szCs w:val="24"/>
          <w:lang w:eastAsia="es-ES"/>
        </w:rPr>
        <w:t>,</w:t>
      </w:r>
      <w:r>
        <w:rPr>
          <w:rFonts w:eastAsia="Calibri" w:cs="Times New Roman"/>
          <w:sz w:val="24"/>
          <w:szCs w:val="24"/>
          <w:lang w:eastAsia="es-ES"/>
        </w:rPr>
        <w:t xml:space="preserve"> podemos clasificar a los usuarios del servicio en: “usuarios normales”, es decir, que no perciben una tarifa social. Los “usuarios con boleto estudiantil y/o gratuito”</w:t>
      </w:r>
      <w:r w:rsidR="005D604F">
        <w:rPr>
          <w:rFonts w:eastAsia="Calibri" w:cs="Times New Roman"/>
          <w:sz w:val="24"/>
          <w:szCs w:val="24"/>
          <w:lang w:eastAsia="es-ES"/>
        </w:rPr>
        <w:t xml:space="preserve"> </w:t>
      </w:r>
      <w:r>
        <w:rPr>
          <w:rFonts w:eastAsia="Calibri" w:cs="Times New Roman"/>
          <w:sz w:val="24"/>
          <w:szCs w:val="24"/>
          <w:lang w:eastAsia="es-ES"/>
        </w:rPr>
        <w:t>que no se encuentran dentro de los definidos con atributo social, no obstante, reciben una tarifa diferenciada</w:t>
      </w:r>
      <w:r w:rsidR="00E9347A">
        <w:rPr>
          <w:rFonts w:eastAsia="Calibri" w:cs="Times New Roman"/>
          <w:sz w:val="24"/>
          <w:szCs w:val="24"/>
          <w:lang w:eastAsia="es-ES"/>
        </w:rPr>
        <w:t xml:space="preserve"> al tratarse de estudiantes y discapacitados</w:t>
      </w:r>
      <w:r>
        <w:rPr>
          <w:rFonts w:eastAsia="Calibri" w:cs="Times New Roman"/>
          <w:sz w:val="24"/>
          <w:szCs w:val="24"/>
          <w:lang w:eastAsia="es-ES"/>
        </w:rPr>
        <w:t>. En tanto</w:t>
      </w:r>
      <w:r w:rsidR="00E9347A">
        <w:rPr>
          <w:rFonts w:eastAsia="Calibri" w:cs="Times New Roman"/>
          <w:sz w:val="24"/>
          <w:szCs w:val="24"/>
          <w:lang w:eastAsia="es-ES"/>
        </w:rPr>
        <w:t>, que dentro de los “usuarios con atributo social” se encuentran comprendidos los establecidos por la Resolución N°975/2012.</w:t>
      </w:r>
    </w:p>
    <w:p w14:paraId="0DFFCA1F" w14:textId="50F79C2D" w:rsidR="00C93B07" w:rsidRDefault="00C93B07" w:rsidP="00620A32">
      <w:pPr>
        <w:widowControl w:val="0"/>
        <w:spacing w:line="360" w:lineRule="auto"/>
        <w:ind w:firstLine="720"/>
        <w:jc w:val="both"/>
        <w:rPr>
          <w:rFonts w:eastAsia="Calibri" w:cs="Times New Roman"/>
          <w:sz w:val="24"/>
          <w:szCs w:val="24"/>
          <w:lang w:eastAsia="es-ES"/>
        </w:rPr>
      </w:pPr>
      <w:r>
        <w:rPr>
          <w:rFonts w:eastAsia="Calibri" w:cs="Times New Roman"/>
          <w:sz w:val="24"/>
          <w:szCs w:val="24"/>
          <w:lang w:eastAsia="es-ES"/>
        </w:rPr>
        <w:t>Como se muestra en el cuadro siguiente, el 64,5% de los usuarios de</w:t>
      </w:r>
      <w:r w:rsidR="000C309F">
        <w:rPr>
          <w:rFonts w:eastAsia="Calibri" w:cs="Times New Roman"/>
          <w:sz w:val="24"/>
          <w:szCs w:val="24"/>
          <w:lang w:eastAsia="es-ES"/>
        </w:rPr>
        <w:t xml:space="preserve"> la RMBA son usuarios</w:t>
      </w:r>
      <w:r w:rsidR="005A08BC">
        <w:rPr>
          <w:rFonts w:eastAsia="Calibri" w:cs="Times New Roman"/>
          <w:sz w:val="24"/>
          <w:szCs w:val="24"/>
          <w:lang w:eastAsia="es-ES"/>
        </w:rPr>
        <w:t xml:space="preserve"> que</w:t>
      </w:r>
      <w:r w:rsidR="000C309F">
        <w:rPr>
          <w:rFonts w:eastAsia="Calibri" w:cs="Times New Roman"/>
          <w:sz w:val="24"/>
          <w:szCs w:val="24"/>
          <w:lang w:eastAsia="es-ES"/>
        </w:rPr>
        <w:t xml:space="preserve"> pagan una tarifa normal, dentro de los cuales podemos distinguir que el 14,1% hacen uso del Sistema de Boleto Integrado.</w:t>
      </w:r>
      <w:r w:rsidR="005A08BC">
        <w:rPr>
          <w:rFonts w:eastAsia="Calibri" w:cs="Times New Roman"/>
          <w:sz w:val="24"/>
          <w:szCs w:val="24"/>
          <w:lang w:eastAsia="es-ES"/>
        </w:rPr>
        <w:t xml:space="preserve"> Mientras que, los usuarios con atributo social que representan el 31,2% de los pasajeros de la RMBA, solo el 9,3% utiliza el boleto integrado.</w:t>
      </w:r>
    </w:p>
    <w:p w14:paraId="451D0F54" w14:textId="00102624" w:rsidR="006E6063" w:rsidRDefault="00A63D3F" w:rsidP="006E6063">
      <w:pPr>
        <w:widowControl w:val="0"/>
        <w:spacing w:line="360" w:lineRule="auto"/>
        <w:ind w:firstLine="0"/>
        <w:jc w:val="center"/>
        <w:rPr>
          <w:rFonts w:eastAsia="Calibri" w:cs="Times New Roman"/>
          <w:sz w:val="24"/>
          <w:szCs w:val="24"/>
          <w:lang w:eastAsia="es-ES"/>
        </w:rPr>
      </w:pPr>
      <w:r w:rsidRPr="00A63D3F">
        <w:rPr>
          <w:noProof/>
        </w:rPr>
        <w:drawing>
          <wp:inline distT="0" distB="0" distL="0" distR="0" wp14:anchorId="7EFE8A84" wp14:editId="7609E9D2">
            <wp:extent cx="5603826" cy="32090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070"/>
                    <a:stretch/>
                  </pic:blipFill>
                  <pic:spPr bwMode="auto">
                    <a:xfrm>
                      <a:off x="0" y="0"/>
                      <a:ext cx="5603826" cy="3209027"/>
                    </a:xfrm>
                    <a:prstGeom prst="rect">
                      <a:avLst/>
                    </a:prstGeom>
                    <a:noFill/>
                    <a:ln>
                      <a:noFill/>
                    </a:ln>
                    <a:extLst>
                      <a:ext uri="{53640926-AAD7-44D8-BBD7-CCE9431645EC}">
                        <a14:shadowObscured xmlns:a14="http://schemas.microsoft.com/office/drawing/2010/main"/>
                      </a:ext>
                    </a:extLst>
                  </pic:spPr>
                </pic:pic>
              </a:graphicData>
            </a:graphic>
          </wp:inline>
        </w:drawing>
      </w:r>
      <w:r w:rsidR="006E6063" w:rsidRPr="00D5372D">
        <w:rPr>
          <w:rFonts w:eastAsia="Calibri" w:cs="Times New Roman"/>
          <w:sz w:val="16"/>
          <w:szCs w:val="16"/>
          <w:lang w:eastAsia="es-ES"/>
        </w:rPr>
        <w:t xml:space="preserve">Fuente: Elaboración propia en base a datos del sitio web </w:t>
      </w:r>
      <w:hyperlink r:id="rId8" w:history="1">
        <w:r w:rsidR="006E6063" w:rsidRPr="00171DC0">
          <w:rPr>
            <w:rStyle w:val="Hipervnculo"/>
            <w:rFonts w:eastAsia="Calibri" w:cs="Times New Roman"/>
            <w:sz w:val="16"/>
            <w:szCs w:val="16"/>
            <w:lang w:eastAsia="es-ES"/>
          </w:rPr>
          <w:t>www.transporte.gob.ar</w:t>
        </w:r>
      </w:hyperlink>
      <w:r w:rsidR="006E6063">
        <w:rPr>
          <w:rFonts w:eastAsia="Calibri" w:cs="Times New Roman"/>
          <w:sz w:val="16"/>
          <w:szCs w:val="16"/>
          <w:lang w:eastAsia="es-ES"/>
        </w:rPr>
        <w:t xml:space="preserve"> de la Sección Subsidios por Grupos Tarifarios</w:t>
      </w:r>
    </w:p>
    <w:p w14:paraId="75303F41" w14:textId="480EFC9E" w:rsidR="00334B9E" w:rsidRDefault="00334B9E" w:rsidP="006E6063">
      <w:pPr>
        <w:widowControl w:val="0"/>
        <w:spacing w:line="360" w:lineRule="auto"/>
        <w:ind w:firstLine="720"/>
        <w:jc w:val="both"/>
        <w:rPr>
          <w:rFonts w:eastAsia="Calibri" w:cs="Times New Roman"/>
          <w:sz w:val="24"/>
          <w:szCs w:val="24"/>
          <w:lang w:eastAsia="es-ES"/>
        </w:rPr>
      </w:pPr>
      <w:r>
        <w:rPr>
          <w:rFonts w:eastAsia="Calibri" w:cs="Times New Roman"/>
          <w:sz w:val="24"/>
          <w:szCs w:val="24"/>
          <w:lang w:eastAsia="es-ES"/>
        </w:rPr>
        <w:t>A continua</w:t>
      </w:r>
      <w:r w:rsidR="006E6063">
        <w:rPr>
          <w:rFonts w:eastAsia="Calibri" w:cs="Times New Roman"/>
          <w:sz w:val="24"/>
          <w:szCs w:val="24"/>
          <w:lang w:eastAsia="es-ES"/>
        </w:rPr>
        <w:t xml:space="preserve">ción, se presenta un gráfico que nos permite observar por grupo tarifario el tipo de usuario que predomina. Vemos que los “usuarios normales” tienen una mayor participación en el Distrito Federal y Suburbana Grupo I, mientras que, los </w:t>
      </w:r>
      <w:r w:rsidR="006E6063">
        <w:rPr>
          <w:rFonts w:eastAsia="Calibri" w:cs="Times New Roman"/>
          <w:sz w:val="24"/>
          <w:szCs w:val="24"/>
          <w:lang w:eastAsia="es-ES"/>
        </w:rPr>
        <w:lastRenderedPageBreak/>
        <w:t>“usuarios con atributo social” predominan en el grupo Suburbana Grupo II. Asimismo, podemos observar que los usuarios que más viajes realizan se encuentran dentro del gru</w:t>
      </w:r>
      <w:r w:rsidR="00A63D3F">
        <w:rPr>
          <w:rFonts w:eastAsia="Calibri" w:cs="Times New Roman"/>
          <w:sz w:val="24"/>
          <w:szCs w:val="24"/>
          <w:lang w:eastAsia="es-ES"/>
        </w:rPr>
        <w:t>po Suburbana Grupo I</w:t>
      </w:r>
      <w:r w:rsidR="007E1CDF">
        <w:rPr>
          <w:rFonts w:eastAsia="Calibri" w:cs="Times New Roman"/>
          <w:sz w:val="24"/>
          <w:szCs w:val="24"/>
          <w:lang w:eastAsia="es-ES"/>
        </w:rPr>
        <w:t>, alcanzando el 76,4%</w:t>
      </w:r>
      <w:r w:rsidR="00A63D3F">
        <w:rPr>
          <w:rFonts w:eastAsia="Calibri" w:cs="Times New Roman"/>
          <w:sz w:val="24"/>
          <w:szCs w:val="24"/>
          <w:lang w:eastAsia="es-ES"/>
        </w:rPr>
        <w:t>.</w:t>
      </w:r>
    </w:p>
    <w:p w14:paraId="2B8AE89A" w14:textId="1C5C7572" w:rsidR="00BE0226" w:rsidRDefault="00334B9E" w:rsidP="007E1CDF">
      <w:pPr>
        <w:widowControl w:val="0"/>
        <w:spacing w:after="0" w:line="240" w:lineRule="auto"/>
        <w:ind w:firstLine="0"/>
        <w:jc w:val="center"/>
        <w:rPr>
          <w:rFonts w:eastAsia="Calibri" w:cs="Times New Roman"/>
          <w:sz w:val="24"/>
          <w:szCs w:val="24"/>
          <w:lang w:eastAsia="es-ES"/>
        </w:rPr>
      </w:pPr>
      <w:r w:rsidRPr="00334B9E">
        <w:rPr>
          <w:noProof/>
        </w:rPr>
        <w:drawing>
          <wp:inline distT="0" distB="0" distL="0" distR="0" wp14:anchorId="1DD92C85" wp14:editId="12A34360">
            <wp:extent cx="5400040" cy="39090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909060"/>
                    </a:xfrm>
                    <a:prstGeom prst="rect">
                      <a:avLst/>
                    </a:prstGeom>
                    <a:noFill/>
                    <a:ln>
                      <a:noFill/>
                    </a:ln>
                  </pic:spPr>
                </pic:pic>
              </a:graphicData>
            </a:graphic>
          </wp:inline>
        </w:drawing>
      </w:r>
    </w:p>
    <w:p w14:paraId="68085A42" w14:textId="77777777" w:rsidR="006E6063" w:rsidRDefault="006E6063" w:rsidP="006E6063">
      <w:pPr>
        <w:widowControl w:val="0"/>
        <w:spacing w:line="360" w:lineRule="auto"/>
        <w:ind w:firstLine="0"/>
        <w:jc w:val="center"/>
        <w:rPr>
          <w:rFonts w:eastAsia="Calibri" w:cs="Times New Roman"/>
          <w:sz w:val="24"/>
          <w:szCs w:val="24"/>
          <w:lang w:eastAsia="es-ES"/>
        </w:rPr>
      </w:pPr>
      <w:r w:rsidRPr="00D5372D">
        <w:rPr>
          <w:rFonts w:eastAsia="Calibri" w:cs="Times New Roman"/>
          <w:sz w:val="16"/>
          <w:szCs w:val="16"/>
          <w:lang w:eastAsia="es-ES"/>
        </w:rPr>
        <w:t xml:space="preserve">Fuente: Elaboración propia en base a datos del sitio web </w:t>
      </w:r>
      <w:hyperlink r:id="rId10" w:history="1">
        <w:r w:rsidRPr="00171DC0">
          <w:rPr>
            <w:rStyle w:val="Hipervnculo"/>
            <w:rFonts w:eastAsia="Calibri" w:cs="Times New Roman"/>
            <w:sz w:val="16"/>
            <w:szCs w:val="16"/>
            <w:lang w:eastAsia="es-ES"/>
          </w:rPr>
          <w:t>www.transporte.gob.ar</w:t>
        </w:r>
      </w:hyperlink>
      <w:r>
        <w:rPr>
          <w:rFonts w:eastAsia="Calibri" w:cs="Times New Roman"/>
          <w:sz w:val="16"/>
          <w:szCs w:val="16"/>
          <w:lang w:eastAsia="es-ES"/>
        </w:rPr>
        <w:t xml:space="preserve"> de la Sección Subsidios por Grupos Tarifarios</w:t>
      </w:r>
    </w:p>
    <w:p w14:paraId="574768D2" w14:textId="1A578B62" w:rsidR="00CC5CAB" w:rsidRPr="00B57D75" w:rsidRDefault="00CC5CAB" w:rsidP="00CC5CAB">
      <w:pPr>
        <w:widowControl w:val="0"/>
        <w:spacing w:line="360" w:lineRule="auto"/>
        <w:ind w:firstLine="720"/>
        <w:jc w:val="both"/>
        <w:rPr>
          <w:rFonts w:eastAsia="Calibri" w:cs="Times New Roman"/>
          <w:sz w:val="24"/>
          <w:szCs w:val="24"/>
          <w:lang w:eastAsia="es-ES"/>
        </w:rPr>
      </w:pPr>
      <w:r w:rsidRPr="00B57D75">
        <w:rPr>
          <w:rFonts w:eastAsia="Calibri" w:cs="Times New Roman"/>
          <w:sz w:val="24"/>
          <w:szCs w:val="24"/>
          <w:lang w:eastAsia="es-ES"/>
        </w:rPr>
        <w:t xml:space="preserve">Del cuadro expuesto, se desprende que en el caso de las empresas de transporte público agrupadas dentro del Distrito Federal y Suburbana Grupo I, el porcentaje que se compensa de la tarifa técnica supera el 80%. Respecto a las Suburbana Grupo II, se compensó un 56,8% de los ingresos por la tarifa técnica. </w:t>
      </w:r>
    </w:p>
    <w:p w14:paraId="12378670" w14:textId="257C454F" w:rsidR="00827D99" w:rsidRPr="00B57D75" w:rsidRDefault="00827D99" w:rsidP="00220FFF">
      <w:pPr>
        <w:widowControl w:val="0"/>
        <w:spacing w:after="0" w:line="240" w:lineRule="auto"/>
        <w:ind w:firstLine="720"/>
        <w:jc w:val="center"/>
        <w:rPr>
          <w:rFonts w:eastAsia="Calibri" w:cs="Times New Roman"/>
          <w:b/>
          <w:bCs/>
          <w:sz w:val="24"/>
          <w:szCs w:val="24"/>
          <w:lang w:eastAsia="es-ES"/>
        </w:rPr>
      </w:pPr>
      <w:r w:rsidRPr="00B57D75">
        <w:rPr>
          <w:rFonts w:eastAsia="Calibri" w:cs="Times New Roman"/>
          <w:b/>
          <w:bCs/>
          <w:sz w:val="24"/>
          <w:szCs w:val="24"/>
          <w:lang w:eastAsia="es-ES"/>
        </w:rPr>
        <w:t xml:space="preserve">Cuadro </w:t>
      </w:r>
      <w:proofErr w:type="spellStart"/>
      <w:r w:rsidRPr="00B57D75">
        <w:rPr>
          <w:rFonts w:eastAsia="Calibri" w:cs="Times New Roman"/>
          <w:b/>
          <w:bCs/>
          <w:sz w:val="24"/>
          <w:szCs w:val="24"/>
          <w:lang w:eastAsia="es-ES"/>
        </w:rPr>
        <w:t>Nº</w:t>
      </w:r>
      <w:proofErr w:type="spellEnd"/>
      <w:r w:rsidRPr="00B57D75">
        <w:rPr>
          <w:rFonts w:eastAsia="Calibri" w:cs="Times New Roman"/>
          <w:b/>
          <w:bCs/>
          <w:sz w:val="24"/>
          <w:szCs w:val="24"/>
          <w:lang w:eastAsia="es-ES"/>
        </w:rPr>
        <w:t xml:space="preserve"> </w:t>
      </w:r>
      <w:proofErr w:type="spellStart"/>
      <w:r w:rsidRPr="00B57D75">
        <w:rPr>
          <w:rFonts w:eastAsia="Calibri" w:cs="Times New Roman"/>
          <w:b/>
          <w:bCs/>
          <w:sz w:val="24"/>
          <w:szCs w:val="24"/>
          <w:lang w:eastAsia="es-ES"/>
        </w:rPr>
        <w:t>xx</w:t>
      </w:r>
      <w:proofErr w:type="spellEnd"/>
      <w:r w:rsidRPr="00B57D75">
        <w:rPr>
          <w:rFonts w:eastAsia="Calibri" w:cs="Times New Roman"/>
          <w:b/>
          <w:bCs/>
          <w:sz w:val="24"/>
          <w:szCs w:val="24"/>
          <w:lang w:eastAsia="es-ES"/>
        </w:rPr>
        <w:t xml:space="preserve"> – Esquema sobre como se compensa la Tarifa Técnica </w:t>
      </w:r>
      <w:r w:rsidR="00220FFF" w:rsidRPr="00B57D75">
        <w:rPr>
          <w:rFonts w:eastAsia="Calibri" w:cs="Times New Roman"/>
          <w:b/>
          <w:bCs/>
          <w:sz w:val="24"/>
          <w:szCs w:val="24"/>
          <w:lang w:eastAsia="es-ES"/>
        </w:rPr>
        <w:t>según G</w:t>
      </w:r>
      <w:r w:rsidRPr="00B57D75">
        <w:rPr>
          <w:rFonts w:eastAsia="Calibri" w:cs="Times New Roman"/>
          <w:b/>
          <w:bCs/>
          <w:sz w:val="24"/>
          <w:szCs w:val="24"/>
          <w:lang w:eastAsia="es-ES"/>
        </w:rPr>
        <w:t xml:space="preserve">rupo </w:t>
      </w:r>
      <w:r w:rsidR="00220FFF" w:rsidRPr="00B57D75">
        <w:rPr>
          <w:rFonts w:eastAsia="Calibri" w:cs="Times New Roman"/>
          <w:b/>
          <w:bCs/>
          <w:sz w:val="24"/>
          <w:szCs w:val="24"/>
          <w:lang w:eastAsia="es-ES"/>
        </w:rPr>
        <w:t>T</w:t>
      </w:r>
      <w:r w:rsidRPr="00B57D75">
        <w:rPr>
          <w:rFonts w:eastAsia="Calibri" w:cs="Times New Roman"/>
          <w:b/>
          <w:bCs/>
          <w:sz w:val="24"/>
          <w:szCs w:val="24"/>
          <w:lang w:eastAsia="es-ES"/>
        </w:rPr>
        <w:t>arifario</w:t>
      </w:r>
      <w:r w:rsidR="00092328" w:rsidRPr="00B57D75">
        <w:rPr>
          <w:rFonts w:eastAsia="Calibri" w:cs="Times New Roman"/>
          <w:b/>
          <w:bCs/>
          <w:sz w:val="24"/>
          <w:szCs w:val="24"/>
          <w:lang w:eastAsia="es-ES"/>
        </w:rPr>
        <w:t xml:space="preserve"> (en millones de pesos)</w:t>
      </w:r>
    </w:p>
    <w:tbl>
      <w:tblPr>
        <w:tblStyle w:val="Tablaconcuadrcula4-nfasis3"/>
        <w:tblW w:w="9244" w:type="dxa"/>
        <w:tblLook w:val="04A0" w:firstRow="1" w:lastRow="0" w:firstColumn="1" w:lastColumn="0" w:noHBand="0" w:noVBand="1"/>
      </w:tblPr>
      <w:tblGrid>
        <w:gridCol w:w="1540"/>
        <w:gridCol w:w="1460"/>
        <w:gridCol w:w="1473"/>
        <w:gridCol w:w="1615"/>
        <w:gridCol w:w="1615"/>
        <w:gridCol w:w="1541"/>
      </w:tblGrid>
      <w:tr w:rsidR="00827D99" w:rsidRPr="00B57D75" w14:paraId="3FFEC7B6" w14:textId="77777777" w:rsidTr="00780145">
        <w:trPr>
          <w:cnfStyle w:val="100000000000" w:firstRow="1" w:lastRow="0" w:firstColumn="0" w:lastColumn="0" w:oddVBand="0" w:evenVBand="0" w:oddHBand="0"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1540" w:type="dxa"/>
            <w:shd w:val="clear" w:color="auto" w:fill="D9D9D9" w:themeFill="background1" w:themeFillShade="D9"/>
            <w:vAlign w:val="center"/>
            <w:hideMark/>
          </w:tcPr>
          <w:p w14:paraId="25CBBB1A" w14:textId="5CD365AF" w:rsidR="00780145" w:rsidRPr="00B57D75" w:rsidRDefault="00780145" w:rsidP="00780145">
            <w:pPr>
              <w:spacing w:after="0" w:line="240" w:lineRule="auto"/>
              <w:ind w:firstLine="0"/>
              <w:jc w:val="center"/>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 xml:space="preserve">Grupo </w:t>
            </w:r>
            <w:proofErr w:type="spellStart"/>
            <w:r w:rsidRPr="00B57D75">
              <w:rPr>
                <w:rFonts w:ascii="Calibri" w:eastAsia="Times New Roman" w:hAnsi="Calibri" w:cs="Calibri"/>
                <w:color w:val="000000"/>
                <w:sz w:val="20"/>
                <w:szCs w:val="20"/>
                <w:lang w:val="en-GB" w:eastAsia="en-GB"/>
              </w:rPr>
              <w:t>Tarifario</w:t>
            </w:r>
            <w:proofErr w:type="spellEnd"/>
          </w:p>
        </w:tc>
        <w:tc>
          <w:tcPr>
            <w:tcW w:w="1540" w:type="dxa"/>
            <w:shd w:val="clear" w:color="auto" w:fill="D9D9D9" w:themeFill="background1" w:themeFillShade="D9"/>
            <w:vAlign w:val="center"/>
            <w:hideMark/>
          </w:tcPr>
          <w:p w14:paraId="13D5AD63" w14:textId="77777777" w:rsidR="00780145" w:rsidRPr="00B57D75" w:rsidRDefault="00780145" w:rsidP="0078014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proofErr w:type="spellStart"/>
            <w:r w:rsidRPr="00B57D75">
              <w:rPr>
                <w:rFonts w:ascii="Calibri" w:eastAsia="Times New Roman" w:hAnsi="Calibri" w:cs="Calibri"/>
                <w:color w:val="000000"/>
                <w:sz w:val="20"/>
                <w:szCs w:val="20"/>
                <w:lang w:val="en-GB" w:eastAsia="en-GB"/>
              </w:rPr>
              <w:t>Ingresos</w:t>
            </w:r>
            <w:proofErr w:type="spellEnd"/>
            <w:r w:rsidRPr="00B57D75">
              <w:rPr>
                <w:rFonts w:ascii="Calibri" w:eastAsia="Times New Roman" w:hAnsi="Calibri" w:cs="Calibri"/>
                <w:color w:val="000000"/>
                <w:sz w:val="20"/>
                <w:szCs w:val="20"/>
                <w:lang w:val="en-GB" w:eastAsia="en-GB"/>
              </w:rPr>
              <w:t xml:space="preserve"> por Tarifa Técnica</w:t>
            </w:r>
          </w:p>
        </w:tc>
        <w:tc>
          <w:tcPr>
            <w:tcW w:w="1541" w:type="dxa"/>
            <w:shd w:val="clear" w:color="auto" w:fill="D9D9D9" w:themeFill="background1" w:themeFillShade="D9"/>
            <w:vAlign w:val="center"/>
            <w:hideMark/>
          </w:tcPr>
          <w:p w14:paraId="076979BF" w14:textId="77777777" w:rsidR="00780145" w:rsidRPr="00B57D75" w:rsidRDefault="00780145" w:rsidP="0078014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Ingresos directos por Tarifa que reciben las empresas</w:t>
            </w:r>
          </w:p>
        </w:tc>
        <w:tc>
          <w:tcPr>
            <w:tcW w:w="1541" w:type="dxa"/>
            <w:shd w:val="clear" w:color="auto" w:fill="D9D9D9" w:themeFill="background1" w:themeFillShade="D9"/>
            <w:vAlign w:val="center"/>
            <w:hideMark/>
          </w:tcPr>
          <w:p w14:paraId="74705280" w14:textId="1DF20E8C" w:rsidR="00780145" w:rsidRPr="00B57D75" w:rsidRDefault="00827D99" w:rsidP="0078014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Compensaciones</w:t>
            </w:r>
            <w:r w:rsidR="00780145" w:rsidRPr="00B57D75">
              <w:rPr>
                <w:rFonts w:ascii="Calibri" w:eastAsia="Times New Roman" w:hAnsi="Calibri" w:cs="Calibri"/>
                <w:color w:val="000000"/>
                <w:sz w:val="20"/>
                <w:szCs w:val="20"/>
                <w:lang w:val="es-ES" w:eastAsia="en-GB"/>
              </w:rPr>
              <w:t xml:space="preserve"> por </w:t>
            </w:r>
            <w:r w:rsidR="00995906" w:rsidRPr="00B57D75">
              <w:rPr>
                <w:rFonts w:ascii="Calibri" w:eastAsia="Times New Roman" w:hAnsi="Calibri" w:cs="Calibri"/>
                <w:color w:val="000000"/>
                <w:sz w:val="20"/>
                <w:szCs w:val="20"/>
                <w:lang w:val="es-ES" w:eastAsia="en-GB"/>
              </w:rPr>
              <w:t xml:space="preserve">el Sistema de </w:t>
            </w:r>
            <w:r w:rsidR="00780145" w:rsidRPr="00B57D75">
              <w:rPr>
                <w:rFonts w:ascii="Calibri" w:eastAsia="Times New Roman" w:hAnsi="Calibri" w:cs="Calibri"/>
                <w:color w:val="000000"/>
                <w:sz w:val="20"/>
                <w:szCs w:val="20"/>
                <w:lang w:val="es-ES" w:eastAsia="en-GB"/>
              </w:rPr>
              <w:t>Boleto Integrado</w:t>
            </w:r>
          </w:p>
        </w:tc>
        <w:tc>
          <w:tcPr>
            <w:tcW w:w="1541" w:type="dxa"/>
            <w:shd w:val="clear" w:color="auto" w:fill="D9D9D9" w:themeFill="background1" w:themeFillShade="D9"/>
            <w:vAlign w:val="center"/>
            <w:hideMark/>
          </w:tcPr>
          <w:p w14:paraId="1419E899" w14:textId="50969FFA" w:rsidR="00780145" w:rsidRPr="00B57D75" w:rsidRDefault="00827D99" w:rsidP="0078014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Compensaciones Tarifarias a la Demanda</w:t>
            </w:r>
          </w:p>
        </w:tc>
        <w:tc>
          <w:tcPr>
            <w:tcW w:w="1541" w:type="dxa"/>
            <w:shd w:val="clear" w:color="auto" w:fill="D9D9D9" w:themeFill="background1" w:themeFillShade="D9"/>
            <w:vAlign w:val="center"/>
            <w:hideMark/>
          </w:tcPr>
          <w:p w14:paraId="40FCDEDE" w14:textId="001363F1" w:rsidR="00780145" w:rsidRPr="00B57D75" w:rsidRDefault="00780145" w:rsidP="00780145">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 xml:space="preserve">Porcentaje de la tarifa técnica </w:t>
            </w:r>
            <w:r w:rsidR="007C57E7" w:rsidRPr="00B57D75">
              <w:rPr>
                <w:rFonts w:ascii="Calibri" w:eastAsia="Times New Roman" w:hAnsi="Calibri" w:cs="Calibri"/>
                <w:color w:val="000000"/>
                <w:sz w:val="20"/>
                <w:szCs w:val="20"/>
                <w:lang w:val="es-ES" w:eastAsia="en-GB"/>
              </w:rPr>
              <w:t>compensado</w:t>
            </w:r>
          </w:p>
        </w:tc>
      </w:tr>
      <w:tr w:rsidR="00780145" w:rsidRPr="00B57D75" w14:paraId="7427BE22" w14:textId="77777777" w:rsidTr="0078014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40" w:type="dxa"/>
            <w:noWrap/>
            <w:vAlign w:val="center"/>
            <w:hideMark/>
          </w:tcPr>
          <w:p w14:paraId="2C405B86" w14:textId="77777777" w:rsidR="00780145" w:rsidRPr="00B57D75" w:rsidRDefault="00780145" w:rsidP="00780145">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D.F</w:t>
            </w:r>
          </w:p>
        </w:tc>
        <w:tc>
          <w:tcPr>
            <w:tcW w:w="1540" w:type="dxa"/>
            <w:vAlign w:val="center"/>
            <w:hideMark/>
          </w:tcPr>
          <w:p w14:paraId="3C03E551"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1.905,4</w:t>
            </w:r>
          </w:p>
        </w:tc>
        <w:tc>
          <w:tcPr>
            <w:tcW w:w="1541" w:type="dxa"/>
            <w:vAlign w:val="center"/>
            <w:hideMark/>
          </w:tcPr>
          <w:p w14:paraId="7C8132C2"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321,6</w:t>
            </w:r>
          </w:p>
        </w:tc>
        <w:tc>
          <w:tcPr>
            <w:tcW w:w="1541" w:type="dxa"/>
            <w:vAlign w:val="center"/>
            <w:hideMark/>
          </w:tcPr>
          <w:p w14:paraId="0385309F"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120,9</w:t>
            </w:r>
          </w:p>
        </w:tc>
        <w:tc>
          <w:tcPr>
            <w:tcW w:w="1541" w:type="dxa"/>
            <w:vAlign w:val="center"/>
            <w:hideMark/>
          </w:tcPr>
          <w:p w14:paraId="27A6E5DB"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1.462,8</w:t>
            </w:r>
          </w:p>
        </w:tc>
        <w:tc>
          <w:tcPr>
            <w:tcW w:w="1541" w:type="dxa"/>
            <w:noWrap/>
            <w:vAlign w:val="center"/>
            <w:hideMark/>
          </w:tcPr>
          <w:p w14:paraId="48CCCED6"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83,1%</w:t>
            </w:r>
          </w:p>
        </w:tc>
      </w:tr>
      <w:tr w:rsidR="00780145" w:rsidRPr="00B57D75" w14:paraId="509EF73D" w14:textId="77777777" w:rsidTr="00780145">
        <w:trPr>
          <w:trHeight w:val="331"/>
        </w:trPr>
        <w:tc>
          <w:tcPr>
            <w:cnfStyle w:val="001000000000" w:firstRow="0" w:lastRow="0" w:firstColumn="1" w:lastColumn="0" w:oddVBand="0" w:evenVBand="0" w:oddHBand="0" w:evenHBand="0" w:firstRowFirstColumn="0" w:firstRowLastColumn="0" w:lastRowFirstColumn="0" w:lastRowLastColumn="0"/>
            <w:tcW w:w="1540" w:type="dxa"/>
            <w:noWrap/>
            <w:vAlign w:val="center"/>
            <w:hideMark/>
          </w:tcPr>
          <w:p w14:paraId="33B608C0" w14:textId="77777777" w:rsidR="00780145" w:rsidRPr="00B57D75" w:rsidRDefault="00780145" w:rsidP="00780145">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S.</w:t>
            </w:r>
            <w:proofErr w:type="gramStart"/>
            <w:r w:rsidRPr="00B57D75">
              <w:rPr>
                <w:rFonts w:ascii="Calibri" w:eastAsia="Times New Roman" w:hAnsi="Calibri" w:cs="Calibri"/>
                <w:color w:val="000000"/>
                <w:sz w:val="20"/>
                <w:szCs w:val="20"/>
                <w:lang w:val="en-GB" w:eastAsia="en-GB"/>
              </w:rPr>
              <w:t>G.I</w:t>
            </w:r>
            <w:proofErr w:type="gramEnd"/>
          </w:p>
        </w:tc>
        <w:tc>
          <w:tcPr>
            <w:tcW w:w="1540" w:type="dxa"/>
            <w:vAlign w:val="center"/>
            <w:hideMark/>
          </w:tcPr>
          <w:p w14:paraId="697A84E4"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7.767,3</w:t>
            </w:r>
          </w:p>
        </w:tc>
        <w:tc>
          <w:tcPr>
            <w:tcW w:w="1541" w:type="dxa"/>
            <w:vAlign w:val="center"/>
            <w:hideMark/>
          </w:tcPr>
          <w:p w14:paraId="1C49022F"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1.217,8</w:t>
            </w:r>
          </w:p>
        </w:tc>
        <w:tc>
          <w:tcPr>
            <w:tcW w:w="1541" w:type="dxa"/>
            <w:vAlign w:val="center"/>
            <w:hideMark/>
          </w:tcPr>
          <w:p w14:paraId="37E5995F"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521,7</w:t>
            </w:r>
          </w:p>
        </w:tc>
        <w:tc>
          <w:tcPr>
            <w:tcW w:w="1541" w:type="dxa"/>
            <w:vAlign w:val="center"/>
            <w:hideMark/>
          </w:tcPr>
          <w:p w14:paraId="7E39923F"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6.027,8</w:t>
            </w:r>
          </w:p>
        </w:tc>
        <w:tc>
          <w:tcPr>
            <w:tcW w:w="1541" w:type="dxa"/>
            <w:noWrap/>
            <w:vAlign w:val="center"/>
            <w:hideMark/>
          </w:tcPr>
          <w:p w14:paraId="01AC78B2"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84,3%</w:t>
            </w:r>
          </w:p>
        </w:tc>
      </w:tr>
      <w:tr w:rsidR="00780145" w:rsidRPr="00B57D75" w14:paraId="2973C590" w14:textId="77777777" w:rsidTr="0078014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40" w:type="dxa"/>
            <w:noWrap/>
            <w:vAlign w:val="center"/>
            <w:hideMark/>
          </w:tcPr>
          <w:p w14:paraId="7D7FD04D" w14:textId="77777777" w:rsidR="00780145" w:rsidRPr="00B57D75" w:rsidRDefault="00780145" w:rsidP="00780145">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S.</w:t>
            </w:r>
            <w:proofErr w:type="gramStart"/>
            <w:r w:rsidRPr="00B57D75">
              <w:rPr>
                <w:rFonts w:ascii="Calibri" w:eastAsia="Times New Roman" w:hAnsi="Calibri" w:cs="Calibri"/>
                <w:color w:val="000000"/>
                <w:sz w:val="20"/>
                <w:szCs w:val="20"/>
                <w:lang w:val="en-GB" w:eastAsia="en-GB"/>
              </w:rPr>
              <w:t>G.II</w:t>
            </w:r>
            <w:proofErr w:type="gramEnd"/>
          </w:p>
        </w:tc>
        <w:tc>
          <w:tcPr>
            <w:tcW w:w="1540" w:type="dxa"/>
            <w:vAlign w:val="center"/>
            <w:hideMark/>
          </w:tcPr>
          <w:p w14:paraId="2B671575"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332,1</w:t>
            </w:r>
          </w:p>
        </w:tc>
        <w:tc>
          <w:tcPr>
            <w:tcW w:w="1541" w:type="dxa"/>
            <w:vAlign w:val="center"/>
            <w:hideMark/>
          </w:tcPr>
          <w:p w14:paraId="2CAEEA2B"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143,4</w:t>
            </w:r>
          </w:p>
        </w:tc>
        <w:tc>
          <w:tcPr>
            <w:tcW w:w="1541" w:type="dxa"/>
            <w:vAlign w:val="center"/>
            <w:hideMark/>
          </w:tcPr>
          <w:p w14:paraId="4D5A4418"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70,5</w:t>
            </w:r>
          </w:p>
        </w:tc>
        <w:tc>
          <w:tcPr>
            <w:tcW w:w="1541" w:type="dxa"/>
            <w:vAlign w:val="center"/>
            <w:hideMark/>
          </w:tcPr>
          <w:p w14:paraId="1AF329B5"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118,2</w:t>
            </w:r>
          </w:p>
        </w:tc>
        <w:tc>
          <w:tcPr>
            <w:tcW w:w="1541" w:type="dxa"/>
            <w:noWrap/>
            <w:vAlign w:val="center"/>
            <w:hideMark/>
          </w:tcPr>
          <w:p w14:paraId="7D93C830" w14:textId="77777777" w:rsidR="00780145" w:rsidRPr="00B57D75" w:rsidRDefault="00780145" w:rsidP="00780145">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56,8%</w:t>
            </w:r>
          </w:p>
        </w:tc>
      </w:tr>
      <w:tr w:rsidR="00780145" w:rsidRPr="00B57D75" w14:paraId="7D465C9E" w14:textId="77777777" w:rsidTr="00780145">
        <w:trPr>
          <w:trHeight w:val="331"/>
        </w:trPr>
        <w:tc>
          <w:tcPr>
            <w:cnfStyle w:val="001000000000" w:firstRow="0" w:lastRow="0" w:firstColumn="1" w:lastColumn="0" w:oddVBand="0" w:evenVBand="0" w:oddHBand="0" w:evenHBand="0" w:firstRowFirstColumn="0" w:firstRowLastColumn="0" w:lastRowFirstColumn="0" w:lastRowLastColumn="0"/>
            <w:tcW w:w="1540" w:type="dxa"/>
            <w:noWrap/>
            <w:vAlign w:val="center"/>
            <w:hideMark/>
          </w:tcPr>
          <w:p w14:paraId="596EDCFC" w14:textId="7790463B" w:rsidR="00780145" w:rsidRPr="00B57D75" w:rsidRDefault="00780145" w:rsidP="00780145">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Total</w:t>
            </w:r>
          </w:p>
        </w:tc>
        <w:tc>
          <w:tcPr>
            <w:tcW w:w="1540" w:type="dxa"/>
            <w:vAlign w:val="center"/>
            <w:hideMark/>
          </w:tcPr>
          <w:p w14:paraId="0D2087D1"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10.004,8</w:t>
            </w:r>
          </w:p>
        </w:tc>
        <w:tc>
          <w:tcPr>
            <w:tcW w:w="1541" w:type="dxa"/>
            <w:vAlign w:val="center"/>
            <w:hideMark/>
          </w:tcPr>
          <w:p w14:paraId="34070F5B"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1.682,8</w:t>
            </w:r>
          </w:p>
        </w:tc>
        <w:tc>
          <w:tcPr>
            <w:tcW w:w="1541" w:type="dxa"/>
            <w:vAlign w:val="center"/>
            <w:hideMark/>
          </w:tcPr>
          <w:p w14:paraId="0DE4D2E7"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713,1</w:t>
            </w:r>
          </w:p>
        </w:tc>
        <w:tc>
          <w:tcPr>
            <w:tcW w:w="1541" w:type="dxa"/>
            <w:vAlign w:val="center"/>
            <w:hideMark/>
          </w:tcPr>
          <w:p w14:paraId="1E7BAE47"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7.608,8</w:t>
            </w:r>
          </w:p>
        </w:tc>
        <w:tc>
          <w:tcPr>
            <w:tcW w:w="1541" w:type="dxa"/>
            <w:noWrap/>
            <w:vAlign w:val="center"/>
            <w:hideMark/>
          </w:tcPr>
          <w:p w14:paraId="09D9A2C7" w14:textId="77777777" w:rsidR="00780145" w:rsidRPr="00B57D75" w:rsidRDefault="00780145" w:rsidP="00780145">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83,2%</w:t>
            </w:r>
          </w:p>
        </w:tc>
      </w:tr>
    </w:tbl>
    <w:p w14:paraId="3A59CE85" w14:textId="7486DBBD" w:rsidR="00A313AB" w:rsidRPr="00B57D75" w:rsidRDefault="00D5372D" w:rsidP="0018033B">
      <w:pPr>
        <w:widowControl w:val="0"/>
        <w:spacing w:line="360" w:lineRule="auto"/>
        <w:ind w:firstLine="0"/>
        <w:jc w:val="center"/>
        <w:rPr>
          <w:rFonts w:eastAsia="Calibri" w:cs="Times New Roman"/>
          <w:sz w:val="24"/>
          <w:szCs w:val="24"/>
          <w:lang w:eastAsia="es-ES"/>
        </w:rPr>
      </w:pPr>
      <w:r w:rsidRPr="00B57D75">
        <w:rPr>
          <w:rFonts w:eastAsia="Calibri" w:cs="Times New Roman"/>
          <w:sz w:val="16"/>
          <w:szCs w:val="16"/>
          <w:lang w:eastAsia="es-ES"/>
        </w:rPr>
        <w:t xml:space="preserve">Fuente: Elaboración propia en base a datos del sitio web </w:t>
      </w:r>
      <w:hyperlink r:id="rId11" w:history="1">
        <w:r w:rsidRPr="00B57D75">
          <w:rPr>
            <w:rStyle w:val="Hipervnculo"/>
            <w:rFonts w:eastAsia="Calibri" w:cs="Times New Roman"/>
            <w:sz w:val="16"/>
            <w:szCs w:val="16"/>
            <w:lang w:eastAsia="es-ES"/>
          </w:rPr>
          <w:t>www.transporte.gob.ar</w:t>
        </w:r>
      </w:hyperlink>
      <w:r w:rsidRPr="00B57D75">
        <w:rPr>
          <w:rFonts w:eastAsia="Calibri" w:cs="Times New Roman"/>
          <w:sz w:val="16"/>
          <w:szCs w:val="16"/>
          <w:lang w:eastAsia="es-ES"/>
        </w:rPr>
        <w:t xml:space="preserve"> de la Sección Subsidios por Grupos Tarifarios</w:t>
      </w:r>
    </w:p>
    <w:p w14:paraId="4A4D0C5A" w14:textId="01FE1D22" w:rsidR="00995906" w:rsidRPr="00B57D75" w:rsidRDefault="00995906" w:rsidP="00131F90">
      <w:pPr>
        <w:widowControl w:val="0"/>
        <w:spacing w:line="360" w:lineRule="auto"/>
        <w:ind w:firstLine="0"/>
        <w:jc w:val="both"/>
        <w:rPr>
          <w:rFonts w:eastAsia="Calibri" w:cs="Times New Roman"/>
          <w:sz w:val="24"/>
          <w:szCs w:val="24"/>
          <w:lang w:eastAsia="es-ES"/>
        </w:rPr>
      </w:pPr>
      <w:r w:rsidRPr="00B57D75">
        <w:rPr>
          <w:rFonts w:eastAsia="Calibri" w:cs="Times New Roman"/>
          <w:sz w:val="24"/>
          <w:szCs w:val="24"/>
          <w:lang w:eastAsia="es-ES"/>
        </w:rPr>
        <w:lastRenderedPageBreak/>
        <w:t xml:space="preserve">Cabe señalar, que las Compensaciones por el Sistema de Boleto Integrado </w:t>
      </w:r>
      <w:r w:rsidR="00F62934" w:rsidRPr="00B57D75">
        <w:rPr>
          <w:rFonts w:eastAsia="Calibri" w:cs="Times New Roman"/>
          <w:sz w:val="24"/>
          <w:szCs w:val="24"/>
          <w:lang w:eastAsia="es-ES"/>
        </w:rPr>
        <w:t xml:space="preserve">es la diferencia entre el Cuadro Tarifario SUBE vigente y los Ingresos directos por Tarifa que reciben las empresas, </w:t>
      </w:r>
      <w:r w:rsidRPr="00B57D75">
        <w:rPr>
          <w:rFonts w:eastAsia="Calibri" w:cs="Times New Roman"/>
          <w:sz w:val="24"/>
          <w:szCs w:val="24"/>
          <w:lang w:eastAsia="es-ES"/>
        </w:rPr>
        <w:t>que el Estado Nacional debe abonar a las empresas de transporte público por automotor de pasajeros</w:t>
      </w:r>
      <w:r w:rsidR="00F62934" w:rsidRPr="00B57D75">
        <w:rPr>
          <w:rFonts w:eastAsia="Calibri" w:cs="Times New Roman"/>
          <w:sz w:val="24"/>
          <w:szCs w:val="24"/>
          <w:lang w:eastAsia="es-ES"/>
        </w:rPr>
        <w:t>. En estas compensaciones se incluye tanto los descuentos del 50% y 75% de los usuarios con y sin atributo social.</w:t>
      </w:r>
    </w:p>
    <w:p w14:paraId="6C10D1A5" w14:textId="04FBC8A5" w:rsidR="0083096A" w:rsidRPr="00B57D75" w:rsidRDefault="0083096A" w:rsidP="00131F90">
      <w:pPr>
        <w:widowControl w:val="0"/>
        <w:spacing w:line="360" w:lineRule="auto"/>
        <w:ind w:firstLine="0"/>
        <w:jc w:val="both"/>
        <w:rPr>
          <w:rFonts w:eastAsia="Calibri" w:cs="Times New Roman"/>
          <w:sz w:val="24"/>
          <w:szCs w:val="24"/>
          <w:lang w:eastAsia="es-ES"/>
        </w:rPr>
      </w:pPr>
      <w:r w:rsidRPr="00B57D75">
        <w:rPr>
          <w:rFonts w:eastAsia="Calibri" w:cs="Times New Roman"/>
          <w:sz w:val="24"/>
          <w:szCs w:val="24"/>
          <w:lang w:eastAsia="es-ES"/>
        </w:rPr>
        <w:t>Respecto a l</w:t>
      </w:r>
      <w:r w:rsidR="0018033B" w:rsidRPr="00B57D75">
        <w:rPr>
          <w:rFonts w:eastAsia="Calibri" w:cs="Times New Roman"/>
          <w:sz w:val="24"/>
          <w:szCs w:val="24"/>
          <w:lang w:eastAsia="es-ES"/>
        </w:rPr>
        <w:t xml:space="preserve">as Compensaciones </w:t>
      </w:r>
      <w:r w:rsidR="003E13FE" w:rsidRPr="00B57D75">
        <w:rPr>
          <w:rFonts w:eastAsia="Calibri" w:cs="Times New Roman"/>
          <w:sz w:val="24"/>
          <w:szCs w:val="24"/>
          <w:lang w:eastAsia="es-ES"/>
        </w:rPr>
        <w:t>Tarifarias a la Demanda (</w:t>
      </w:r>
      <w:r w:rsidRPr="00B57D75">
        <w:rPr>
          <w:rFonts w:eastAsia="Calibri" w:cs="Times New Roman"/>
          <w:sz w:val="24"/>
          <w:szCs w:val="24"/>
          <w:lang w:eastAsia="es-ES"/>
        </w:rPr>
        <w:t>por Aplicación del Cuadro Tarifario SUBE</w:t>
      </w:r>
      <w:r w:rsidR="0018033B" w:rsidRPr="00B57D75">
        <w:rPr>
          <w:rFonts w:eastAsia="Calibri" w:cs="Times New Roman"/>
          <w:sz w:val="24"/>
          <w:szCs w:val="24"/>
          <w:lang w:eastAsia="es-ES"/>
        </w:rPr>
        <w:t xml:space="preserve"> y </w:t>
      </w:r>
      <w:r w:rsidR="003E13FE" w:rsidRPr="00B57D75">
        <w:rPr>
          <w:rFonts w:eastAsia="Calibri" w:cs="Times New Roman"/>
          <w:sz w:val="24"/>
          <w:szCs w:val="24"/>
          <w:lang w:eastAsia="es-ES"/>
        </w:rPr>
        <w:t>Tarifa Técnica)</w:t>
      </w:r>
      <w:r w:rsidRPr="00B57D75">
        <w:rPr>
          <w:rFonts w:eastAsia="Calibri" w:cs="Times New Roman"/>
          <w:sz w:val="24"/>
          <w:szCs w:val="24"/>
          <w:lang w:eastAsia="es-ES"/>
        </w:rPr>
        <w:t xml:space="preserve">, </w:t>
      </w:r>
      <w:r w:rsidR="003E13FE" w:rsidRPr="00B57D75">
        <w:rPr>
          <w:rFonts w:eastAsia="Calibri" w:cs="Times New Roman"/>
          <w:sz w:val="24"/>
          <w:szCs w:val="24"/>
          <w:lang w:eastAsia="es-ES"/>
        </w:rPr>
        <w:t>por un lado, se refiere a</w:t>
      </w:r>
      <w:r w:rsidRPr="00B57D75">
        <w:rPr>
          <w:rFonts w:eastAsia="Calibri" w:cs="Times New Roman"/>
          <w:sz w:val="24"/>
          <w:szCs w:val="24"/>
          <w:lang w:eastAsia="es-ES"/>
        </w:rPr>
        <w:t xml:space="preserve"> la diferencia que debe </w:t>
      </w:r>
      <w:r w:rsidR="003E13FE" w:rsidRPr="00B57D75">
        <w:rPr>
          <w:rFonts w:eastAsia="Calibri" w:cs="Times New Roman"/>
          <w:sz w:val="24"/>
          <w:szCs w:val="24"/>
          <w:lang w:eastAsia="es-ES"/>
        </w:rPr>
        <w:t>abonarles</w:t>
      </w:r>
      <w:r w:rsidRPr="00B57D75">
        <w:rPr>
          <w:rFonts w:eastAsia="Calibri" w:cs="Times New Roman"/>
          <w:sz w:val="24"/>
          <w:szCs w:val="24"/>
          <w:lang w:eastAsia="es-ES"/>
        </w:rPr>
        <w:t xml:space="preserve"> el Estado Nacional a las empresas de </w:t>
      </w:r>
      <w:r w:rsidR="0018033B" w:rsidRPr="00B57D75">
        <w:rPr>
          <w:rFonts w:eastAsia="Calibri" w:cs="Times New Roman"/>
          <w:sz w:val="24"/>
          <w:szCs w:val="24"/>
          <w:lang w:eastAsia="es-ES"/>
        </w:rPr>
        <w:t>transporte público por aplicar los descuentos por Atributo Social al Cuadro Tarifario SUBE vigente.</w:t>
      </w:r>
      <w:r w:rsidR="003E13FE" w:rsidRPr="00B57D75">
        <w:rPr>
          <w:rFonts w:eastAsia="Calibri" w:cs="Times New Roman"/>
          <w:sz w:val="24"/>
          <w:szCs w:val="24"/>
          <w:lang w:eastAsia="es-ES"/>
        </w:rPr>
        <w:t xml:space="preserve"> </w:t>
      </w:r>
      <w:r w:rsidR="00130AB0" w:rsidRPr="00B57D75">
        <w:rPr>
          <w:rFonts w:eastAsia="Calibri" w:cs="Times New Roman"/>
          <w:sz w:val="24"/>
          <w:szCs w:val="24"/>
          <w:lang w:eastAsia="es-ES"/>
        </w:rPr>
        <w:t>Asimismo, d</w:t>
      </w:r>
      <w:r w:rsidR="003E13FE" w:rsidRPr="00B57D75">
        <w:rPr>
          <w:rFonts w:eastAsia="Calibri" w:cs="Times New Roman"/>
          <w:sz w:val="24"/>
          <w:szCs w:val="24"/>
          <w:lang w:eastAsia="es-ES"/>
        </w:rPr>
        <w:t>entro de estas compensaciones, también se contemplan las erogaciones que el Estado Nacional debe afrontar para pagar la diferencia entre la Tarifa Técnica y la Tarifa según el Cuadro Tarifario SUBE vigente.</w:t>
      </w:r>
    </w:p>
    <w:p w14:paraId="5263DDCF" w14:textId="2885979A" w:rsidR="007C57E7" w:rsidRPr="00B57D75" w:rsidRDefault="002E3675" w:rsidP="007C57E7">
      <w:pPr>
        <w:widowControl w:val="0"/>
        <w:spacing w:line="360" w:lineRule="auto"/>
        <w:ind w:firstLine="0"/>
        <w:jc w:val="both"/>
        <w:rPr>
          <w:rFonts w:eastAsia="Calibri" w:cs="Times New Roman"/>
          <w:sz w:val="24"/>
          <w:szCs w:val="24"/>
          <w:lang w:eastAsia="es-ES"/>
        </w:rPr>
      </w:pPr>
      <w:r w:rsidRPr="00B57D75">
        <w:rPr>
          <w:rFonts w:eastAsia="Calibri" w:cs="Times New Roman"/>
          <w:sz w:val="24"/>
          <w:szCs w:val="24"/>
          <w:lang w:eastAsia="es-ES"/>
        </w:rPr>
        <w:t xml:space="preserve">En el gráfico siguiente se observa que la mayor concentración </w:t>
      </w:r>
      <w:r w:rsidR="007C57E7" w:rsidRPr="00B57D75">
        <w:rPr>
          <w:rFonts w:eastAsia="Calibri" w:cs="Times New Roman"/>
          <w:sz w:val="24"/>
          <w:szCs w:val="24"/>
          <w:lang w:eastAsia="es-ES"/>
        </w:rPr>
        <w:t>de Compensaciones Tarifarias a la Demanda</w:t>
      </w:r>
      <w:r w:rsidRPr="00B57D75">
        <w:rPr>
          <w:rFonts w:eastAsia="Calibri" w:cs="Times New Roman"/>
          <w:sz w:val="24"/>
          <w:szCs w:val="24"/>
          <w:lang w:eastAsia="es-ES"/>
        </w:rPr>
        <w:t xml:space="preserve"> se focaliza en las Suburbana Grupo I, con más del 78,0%.</w:t>
      </w:r>
      <w:r w:rsidR="00130AB0" w:rsidRPr="00B57D75">
        <w:rPr>
          <w:rFonts w:eastAsia="Calibri" w:cs="Times New Roman"/>
          <w:sz w:val="24"/>
          <w:szCs w:val="24"/>
          <w:lang w:eastAsia="es-ES"/>
        </w:rPr>
        <w:t xml:space="preserve"> Además,</w:t>
      </w:r>
      <w:r w:rsidR="007C57E7" w:rsidRPr="00B57D75">
        <w:rPr>
          <w:rFonts w:eastAsia="Calibri" w:cs="Times New Roman"/>
          <w:sz w:val="24"/>
          <w:szCs w:val="24"/>
          <w:lang w:eastAsia="es-ES"/>
        </w:rPr>
        <w:t xml:space="preserve"> se puede establecer que las Compensaciones Tarifarias a la Demanda</w:t>
      </w:r>
      <w:r w:rsidR="00092328" w:rsidRPr="00B57D75">
        <w:rPr>
          <w:rFonts w:eastAsia="Calibri" w:cs="Times New Roman"/>
          <w:sz w:val="24"/>
          <w:szCs w:val="24"/>
          <w:lang w:eastAsia="es-ES"/>
        </w:rPr>
        <w:t xml:space="preserve"> (incluye las compensaciones por el Sistema de Boleto Integrado)</w:t>
      </w:r>
      <w:r w:rsidR="007C57E7" w:rsidRPr="00B57D75">
        <w:rPr>
          <w:rFonts w:eastAsia="Calibri" w:cs="Times New Roman"/>
          <w:sz w:val="24"/>
          <w:szCs w:val="24"/>
          <w:lang w:eastAsia="es-ES"/>
        </w:rPr>
        <w:t xml:space="preserve"> en los grupos tarifarios del Distrito Federal y Suburbana Grupo I, se concentran en los “Usuarios sin Atributo Social” con un 68,0% y 62,7%, respectivamente. En tanto, que en las Compensaciones a la Demanda del grupo tarifario Suburbana Grupo II predominan ampliamente los “Usuarios con Atributo Social”, con un 70,7%.</w:t>
      </w:r>
    </w:p>
    <w:p w14:paraId="6329B724" w14:textId="49F27A8C" w:rsidR="007C57E7" w:rsidRPr="00B57D75" w:rsidRDefault="00092328" w:rsidP="00131F90">
      <w:pPr>
        <w:widowControl w:val="0"/>
        <w:spacing w:line="360" w:lineRule="auto"/>
        <w:ind w:firstLine="0"/>
        <w:jc w:val="both"/>
        <w:rPr>
          <w:rFonts w:eastAsia="Calibri" w:cs="Times New Roman"/>
          <w:sz w:val="24"/>
          <w:szCs w:val="24"/>
          <w:lang w:eastAsia="es-ES"/>
        </w:rPr>
      </w:pPr>
      <w:r w:rsidRPr="00B57D75">
        <w:rPr>
          <w:noProof/>
        </w:rPr>
        <w:lastRenderedPageBreak/>
        <w:drawing>
          <wp:inline distT="0" distB="0" distL="0" distR="0" wp14:anchorId="2629D484" wp14:editId="2D90BBB2">
            <wp:extent cx="5400040" cy="3921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921125"/>
                    </a:xfrm>
                    <a:prstGeom prst="rect">
                      <a:avLst/>
                    </a:prstGeom>
                    <a:noFill/>
                    <a:ln>
                      <a:noFill/>
                    </a:ln>
                  </pic:spPr>
                </pic:pic>
              </a:graphicData>
            </a:graphic>
          </wp:inline>
        </w:drawing>
      </w:r>
    </w:p>
    <w:p w14:paraId="0F37DF16" w14:textId="77777777" w:rsidR="00D5372D" w:rsidRPr="00B57D75" w:rsidRDefault="00D5372D" w:rsidP="00D5372D">
      <w:pPr>
        <w:widowControl w:val="0"/>
        <w:spacing w:line="360" w:lineRule="auto"/>
        <w:ind w:firstLine="0"/>
        <w:jc w:val="center"/>
        <w:rPr>
          <w:rFonts w:eastAsia="Calibri" w:cs="Times New Roman"/>
          <w:sz w:val="24"/>
          <w:szCs w:val="24"/>
          <w:lang w:eastAsia="es-ES"/>
        </w:rPr>
      </w:pPr>
      <w:r w:rsidRPr="00B57D75">
        <w:rPr>
          <w:rFonts w:eastAsia="Calibri" w:cs="Times New Roman"/>
          <w:sz w:val="16"/>
          <w:szCs w:val="16"/>
          <w:lang w:eastAsia="es-ES"/>
        </w:rPr>
        <w:t xml:space="preserve">Fuente: Elaboración propia en base a datos del sitio web </w:t>
      </w:r>
      <w:hyperlink r:id="rId13" w:history="1">
        <w:r w:rsidRPr="00B57D75">
          <w:rPr>
            <w:rStyle w:val="Hipervnculo"/>
            <w:rFonts w:eastAsia="Calibri" w:cs="Times New Roman"/>
            <w:sz w:val="16"/>
            <w:szCs w:val="16"/>
            <w:lang w:eastAsia="es-ES"/>
          </w:rPr>
          <w:t>www.transporte.gob.ar</w:t>
        </w:r>
      </w:hyperlink>
      <w:r w:rsidRPr="00B57D75">
        <w:rPr>
          <w:rFonts w:eastAsia="Calibri" w:cs="Times New Roman"/>
          <w:sz w:val="16"/>
          <w:szCs w:val="16"/>
          <w:lang w:eastAsia="es-ES"/>
        </w:rPr>
        <w:t xml:space="preserve"> de la Sección Subsidios por Grupos Tarifarios</w:t>
      </w:r>
    </w:p>
    <w:p w14:paraId="117D69DB" w14:textId="3E1C7BD8" w:rsidR="0085722E" w:rsidRPr="00B57D75" w:rsidRDefault="005E68F3" w:rsidP="00131F90">
      <w:pPr>
        <w:widowControl w:val="0"/>
        <w:spacing w:line="360" w:lineRule="auto"/>
        <w:ind w:firstLine="0"/>
        <w:jc w:val="both"/>
        <w:rPr>
          <w:rFonts w:eastAsia="Calibri" w:cs="Times New Roman"/>
          <w:sz w:val="24"/>
          <w:szCs w:val="24"/>
          <w:lang w:eastAsia="es-ES"/>
        </w:rPr>
      </w:pPr>
      <w:r w:rsidRPr="00B57D75">
        <w:rPr>
          <w:rFonts w:eastAsia="Calibri" w:cs="Times New Roman"/>
          <w:sz w:val="24"/>
          <w:szCs w:val="24"/>
          <w:lang w:eastAsia="es-ES"/>
        </w:rPr>
        <w:t>E</w:t>
      </w:r>
      <w:r w:rsidR="00FA1224" w:rsidRPr="00B57D75">
        <w:rPr>
          <w:rFonts w:eastAsia="Calibri" w:cs="Times New Roman"/>
          <w:sz w:val="24"/>
          <w:szCs w:val="24"/>
          <w:lang w:eastAsia="es-ES"/>
        </w:rPr>
        <w:t>l</w:t>
      </w:r>
      <w:r w:rsidRPr="00B57D75">
        <w:rPr>
          <w:rFonts w:eastAsia="Calibri" w:cs="Times New Roman"/>
          <w:sz w:val="24"/>
          <w:szCs w:val="24"/>
          <w:lang w:eastAsia="es-ES"/>
        </w:rPr>
        <w:t xml:space="preserve"> siguiente cuadro</w:t>
      </w:r>
      <w:r w:rsidR="00FA1224" w:rsidRPr="00B57D75">
        <w:rPr>
          <w:rFonts w:eastAsia="Calibri" w:cs="Times New Roman"/>
          <w:sz w:val="24"/>
          <w:szCs w:val="24"/>
          <w:lang w:eastAsia="es-ES"/>
        </w:rPr>
        <w:t xml:space="preserve"> muestra el tipo de usuario por grupo tarifario, </w:t>
      </w:r>
      <w:r w:rsidR="009352E3" w:rsidRPr="00B57D75">
        <w:rPr>
          <w:rFonts w:eastAsia="Calibri" w:cs="Times New Roman"/>
          <w:sz w:val="24"/>
          <w:szCs w:val="24"/>
          <w:lang w:eastAsia="es-ES"/>
        </w:rPr>
        <w:t>podemos</w:t>
      </w:r>
      <w:r w:rsidR="002E3675" w:rsidRPr="00B57D75">
        <w:rPr>
          <w:rFonts w:eastAsia="Calibri" w:cs="Times New Roman"/>
          <w:sz w:val="24"/>
          <w:szCs w:val="24"/>
          <w:lang w:eastAsia="es-ES"/>
        </w:rPr>
        <w:t xml:space="preserve"> observa</w:t>
      </w:r>
      <w:r w:rsidR="009352E3" w:rsidRPr="00B57D75">
        <w:rPr>
          <w:rFonts w:eastAsia="Calibri" w:cs="Times New Roman"/>
          <w:sz w:val="24"/>
          <w:szCs w:val="24"/>
          <w:lang w:eastAsia="es-ES"/>
        </w:rPr>
        <w:t>r</w:t>
      </w:r>
      <w:r w:rsidR="00FA1224" w:rsidRPr="00B57D75">
        <w:rPr>
          <w:rFonts w:eastAsia="Calibri" w:cs="Times New Roman"/>
          <w:sz w:val="24"/>
          <w:szCs w:val="24"/>
          <w:lang w:eastAsia="es-ES"/>
        </w:rPr>
        <w:t xml:space="preserve"> que en todos los casos los </w:t>
      </w:r>
      <w:r w:rsidR="00FA1224" w:rsidRPr="00B57D75">
        <w:rPr>
          <w:rFonts w:eastAsia="Calibri" w:cs="Times New Roman"/>
          <w:i/>
          <w:iCs/>
          <w:sz w:val="24"/>
          <w:szCs w:val="24"/>
          <w:lang w:eastAsia="es-ES"/>
        </w:rPr>
        <w:t>“Usuarios sin Atributo Social”</w:t>
      </w:r>
      <w:r w:rsidR="00FA1224" w:rsidRPr="00B57D75">
        <w:rPr>
          <w:rFonts w:eastAsia="Calibri" w:cs="Times New Roman"/>
          <w:sz w:val="24"/>
          <w:szCs w:val="24"/>
          <w:lang w:eastAsia="es-ES"/>
        </w:rPr>
        <w:t xml:space="preserve"> son los que mayor</w:t>
      </w:r>
      <w:r w:rsidR="007C57E7" w:rsidRPr="00B57D75">
        <w:rPr>
          <w:rFonts w:eastAsia="Calibri" w:cs="Times New Roman"/>
          <w:sz w:val="24"/>
          <w:szCs w:val="24"/>
          <w:lang w:eastAsia="es-ES"/>
        </w:rPr>
        <w:t>es</w:t>
      </w:r>
      <w:r w:rsidR="00FA1224" w:rsidRPr="00B57D75">
        <w:rPr>
          <w:rFonts w:eastAsia="Calibri" w:cs="Times New Roman"/>
          <w:sz w:val="24"/>
          <w:szCs w:val="24"/>
          <w:lang w:eastAsia="es-ES"/>
        </w:rPr>
        <w:t xml:space="preserve"> ingreso</w:t>
      </w:r>
      <w:r w:rsidR="007C57E7" w:rsidRPr="00B57D75">
        <w:rPr>
          <w:rFonts w:eastAsia="Calibri" w:cs="Times New Roman"/>
          <w:sz w:val="24"/>
          <w:szCs w:val="24"/>
          <w:lang w:eastAsia="es-ES"/>
        </w:rPr>
        <w:t>s</w:t>
      </w:r>
      <w:r w:rsidR="00FA1224" w:rsidRPr="00B57D75">
        <w:rPr>
          <w:rFonts w:eastAsia="Calibri" w:cs="Times New Roman"/>
          <w:sz w:val="24"/>
          <w:szCs w:val="24"/>
          <w:lang w:eastAsia="es-ES"/>
        </w:rPr>
        <w:t xml:space="preserve"> representan de la tarifa técnica por lo que representan las mayores erogaciones para el Estado Nacional. </w:t>
      </w:r>
    </w:p>
    <w:p w14:paraId="3F862471" w14:textId="77777777" w:rsidR="009352E3" w:rsidRPr="00B57D75" w:rsidRDefault="009352E3" w:rsidP="009352E3">
      <w:pPr>
        <w:widowControl w:val="0"/>
        <w:spacing w:line="360" w:lineRule="auto"/>
        <w:ind w:firstLine="0"/>
        <w:jc w:val="both"/>
        <w:rPr>
          <w:rFonts w:eastAsia="Calibri" w:cs="Times New Roman"/>
          <w:sz w:val="24"/>
          <w:szCs w:val="24"/>
          <w:lang w:eastAsia="es-ES"/>
        </w:rPr>
      </w:pPr>
      <w:r w:rsidRPr="00B57D75">
        <w:rPr>
          <w:rFonts w:eastAsia="Calibri" w:cs="Times New Roman"/>
          <w:sz w:val="24"/>
          <w:szCs w:val="24"/>
          <w:lang w:eastAsia="es-ES"/>
        </w:rPr>
        <w:t xml:space="preserve">Además, podemos notar que los </w:t>
      </w:r>
      <w:r w:rsidRPr="00B57D75">
        <w:rPr>
          <w:rFonts w:eastAsia="Calibri" w:cs="Times New Roman"/>
          <w:i/>
          <w:iCs/>
          <w:sz w:val="24"/>
          <w:szCs w:val="24"/>
          <w:lang w:eastAsia="es-ES"/>
        </w:rPr>
        <w:t>“Usuarios sin Atributo Social”</w:t>
      </w:r>
      <w:r w:rsidRPr="00B57D75">
        <w:rPr>
          <w:rFonts w:eastAsia="Calibri" w:cs="Times New Roman"/>
          <w:sz w:val="24"/>
          <w:szCs w:val="24"/>
          <w:lang w:eastAsia="es-ES"/>
        </w:rPr>
        <w:t xml:space="preserve"> del Grupo Tarifario Suburbana Grupo I representan más del 50% de los ingresos por tarifa técnica total. </w:t>
      </w:r>
    </w:p>
    <w:p w14:paraId="1830E356" w14:textId="49F98EAA" w:rsidR="009352E3" w:rsidRPr="00B57D75" w:rsidRDefault="006C1CFB" w:rsidP="009352E3">
      <w:pPr>
        <w:widowControl w:val="0"/>
        <w:spacing w:line="360" w:lineRule="auto"/>
        <w:ind w:firstLine="0"/>
        <w:jc w:val="both"/>
        <w:rPr>
          <w:rFonts w:eastAsia="Calibri" w:cs="Times New Roman"/>
          <w:sz w:val="24"/>
          <w:szCs w:val="24"/>
          <w:lang w:eastAsia="es-ES"/>
        </w:rPr>
      </w:pPr>
      <w:r>
        <w:rPr>
          <w:rFonts w:eastAsia="Calibri" w:cs="Times New Roman"/>
          <w:sz w:val="24"/>
          <w:szCs w:val="24"/>
          <w:lang w:eastAsia="es-ES"/>
        </w:rPr>
        <w:t>Mientras que</w:t>
      </w:r>
      <w:r w:rsidR="009352E3" w:rsidRPr="00B57D75">
        <w:rPr>
          <w:rFonts w:eastAsia="Calibri" w:cs="Times New Roman"/>
          <w:sz w:val="24"/>
          <w:szCs w:val="24"/>
          <w:lang w:eastAsia="es-ES"/>
        </w:rPr>
        <w:t xml:space="preserve">, los </w:t>
      </w:r>
      <w:r w:rsidR="009352E3" w:rsidRPr="00B57D75">
        <w:rPr>
          <w:rFonts w:eastAsia="Calibri" w:cs="Times New Roman"/>
          <w:i/>
          <w:iCs/>
          <w:sz w:val="24"/>
          <w:szCs w:val="24"/>
          <w:lang w:eastAsia="es-ES"/>
        </w:rPr>
        <w:t>“Usuarios con Atributo Social”</w:t>
      </w:r>
      <w:r w:rsidR="009352E3" w:rsidRPr="00B57D75">
        <w:rPr>
          <w:rFonts w:eastAsia="Calibri" w:cs="Times New Roman"/>
          <w:sz w:val="24"/>
          <w:szCs w:val="24"/>
          <w:lang w:eastAsia="es-ES"/>
        </w:rPr>
        <w:t xml:space="preserve"> representan en el Distrito Federal el 27,1% de los ingresos de la tarifa técnica. Cabe señalar, que dichos usuarios cobran más notoriedad en los grupos tarifarios Suburbana Grupo I y II con una participación del 32,5% y 58,9%, respectivamente.</w:t>
      </w:r>
    </w:p>
    <w:p w14:paraId="268E1D61" w14:textId="77777777" w:rsidR="009352E3" w:rsidRPr="00B57D75" w:rsidRDefault="009352E3" w:rsidP="009352E3">
      <w:pPr>
        <w:widowControl w:val="0"/>
        <w:spacing w:line="360" w:lineRule="auto"/>
        <w:ind w:firstLine="0"/>
        <w:jc w:val="both"/>
        <w:rPr>
          <w:rFonts w:eastAsia="Calibri" w:cs="Times New Roman"/>
          <w:i/>
          <w:iCs/>
          <w:sz w:val="24"/>
          <w:szCs w:val="24"/>
          <w:lang w:eastAsia="es-ES"/>
        </w:rPr>
      </w:pPr>
      <w:r w:rsidRPr="00B57D75">
        <w:rPr>
          <w:rFonts w:eastAsia="Calibri" w:cs="Times New Roman"/>
          <w:sz w:val="24"/>
          <w:szCs w:val="24"/>
          <w:lang w:eastAsia="es-ES"/>
        </w:rPr>
        <w:t>Respecto a las Compensaciones por el Sistema de Boleto Integrado, podemos observar en todos los casos que los mismos son aprovechados en mayor proporción por los “</w:t>
      </w:r>
      <w:r w:rsidRPr="00B57D75">
        <w:rPr>
          <w:rFonts w:eastAsia="Calibri" w:cs="Times New Roman"/>
          <w:i/>
          <w:iCs/>
          <w:sz w:val="24"/>
          <w:szCs w:val="24"/>
          <w:lang w:eastAsia="es-ES"/>
        </w:rPr>
        <w:t>Usuarios con Atributo Social”.</w:t>
      </w:r>
    </w:p>
    <w:p w14:paraId="79804ED2" w14:textId="235C7CB5" w:rsidR="00693199" w:rsidRPr="00B57D75" w:rsidRDefault="00693199" w:rsidP="00693199">
      <w:pPr>
        <w:widowControl w:val="0"/>
        <w:spacing w:after="0" w:line="240" w:lineRule="auto"/>
        <w:ind w:firstLine="720"/>
        <w:jc w:val="center"/>
        <w:rPr>
          <w:rFonts w:eastAsia="Calibri" w:cs="Times New Roman"/>
          <w:b/>
          <w:bCs/>
          <w:sz w:val="24"/>
          <w:szCs w:val="24"/>
          <w:lang w:eastAsia="es-ES"/>
        </w:rPr>
      </w:pPr>
      <w:r w:rsidRPr="00B57D75">
        <w:rPr>
          <w:rFonts w:eastAsia="Calibri" w:cs="Times New Roman"/>
          <w:b/>
          <w:bCs/>
          <w:sz w:val="24"/>
          <w:szCs w:val="24"/>
          <w:lang w:eastAsia="es-ES"/>
        </w:rPr>
        <w:t xml:space="preserve">Cuadro </w:t>
      </w:r>
      <w:proofErr w:type="spellStart"/>
      <w:r w:rsidRPr="00B57D75">
        <w:rPr>
          <w:rFonts w:eastAsia="Calibri" w:cs="Times New Roman"/>
          <w:b/>
          <w:bCs/>
          <w:sz w:val="24"/>
          <w:szCs w:val="24"/>
          <w:lang w:eastAsia="es-ES"/>
        </w:rPr>
        <w:t>Nº</w:t>
      </w:r>
      <w:proofErr w:type="spellEnd"/>
      <w:r w:rsidRPr="00B57D75">
        <w:rPr>
          <w:rFonts w:eastAsia="Calibri" w:cs="Times New Roman"/>
          <w:b/>
          <w:bCs/>
          <w:sz w:val="24"/>
          <w:szCs w:val="24"/>
          <w:lang w:eastAsia="es-ES"/>
        </w:rPr>
        <w:t xml:space="preserve"> </w:t>
      </w:r>
      <w:proofErr w:type="spellStart"/>
      <w:r w:rsidRPr="00B57D75">
        <w:rPr>
          <w:rFonts w:eastAsia="Calibri" w:cs="Times New Roman"/>
          <w:b/>
          <w:bCs/>
          <w:sz w:val="24"/>
          <w:szCs w:val="24"/>
          <w:lang w:eastAsia="es-ES"/>
        </w:rPr>
        <w:t>xx</w:t>
      </w:r>
      <w:proofErr w:type="spellEnd"/>
      <w:r w:rsidRPr="00B57D75">
        <w:rPr>
          <w:rFonts w:eastAsia="Calibri" w:cs="Times New Roman"/>
          <w:b/>
          <w:bCs/>
          <w:sz w:val="24"/>
          <w:szCs w:val="24"/>
          <w:lang w:eastAsia="es-ES"/>
        </w:rPr>
        <w:t xml:space="preserve"> – Esquema sobre cómo se compensa la Tarifa Técnica según </w:t>
      </w:r>
      <w:r w:rsidRPr="00B57D75">
        <w:rPr>
          <w:rFonts w:eastAsia="Calibri" w:cs="Times New Roman"/>
          <w:b/>
          <w:bCs/>
          <w:sz w:val="24"/>
          <w:szCs w:val="24"/>
          <w:lang w:eastAsia="es-ES"/>
        </w:rPr>
        <w:lastRenderedPageBreak/>
        <w:t>Grupo Tarifario y Tipo de Usuario</w:t>
      </w:r>
      <w:r w:rsidR="00092328" w:rsidRPr="00B57D75">
        <w:rPr>
          <w:rFonts w:eastAsia="Calibri" w:cs="Times New Roman"/>
          <w:b/>
          <w:bCs/>
          <w:sz w:val="24"/>
          <w:szCs w:val="24"/>
          <w:lang w:eastAsia="es-ES"/>
        </w:rPr>
        <w:t xml:space="preserve"> (en millones de pesos)</w:t>
      </w:r>
    </w:p>
    <w:tbl>
      <w:tblPr>
        <w:tblStyle w:val="Tablaconcuadrcula4-nfasis3"/>
        <w:tblW w:w="9753" w:type="dxa"/>
        <w:tblInd w:w="-572" w:type="dxa"/>
        <w:tblLook w:val="04A0" w:firstRow="1" w:lastRow="0" w:firstColumn="1" w:lastColumn="0" w:noHBand="0" w:noVBand="1"/>
      </w:tblPr>
      <w:tblGrid>
        <w:gridCol w:w="2694"/>
        <w:gridCol w:w="1134"/>
        <w:gridCol w:w="1416"/>
        <w:gridCol w:w="1615"/>
        <w:gridCol w:w="1615"/>
        <w:gridCol w:w="1279"/>
      </w:tblGrid>
      <w:tr w:rsidR="007C57E7" w:rsidRPr="00B57D75" w14:paraId="73AED348" w14:textId="77777777" w:rsidTr="00693199">
        <w:trPr>
          <w:cnfStyle w:val="100000000000" w:firstRow="1" w:lastRow="0" w:firstColumn="0" w:lastColumn="0" w:oddVBand="0" w:evenVBand="0" w:oddHBand="0" w:evenHBand="0" w:firstRowFirstColumn="0" w:firstRowLastColumn="0" w:lastRowFirstColumn="0" w:lastRowLastColumn="0"/>
          <w:trHeight w:val="1390"/>
        </w:trPr>
        <w:tc>
          <w:tcPr>
            <w:cnfStyle w:val="001000000000" w:firstRow="0" w:lastRow="0" w:firstColumn="1" w:lastColumn="0" w:oddVBand="0" w:evenVBand="0" w:oddHBand="0" w:evenHBand="0" w:firstRowFirstColumn="0" w:firstRowLastColumn="0" w:lastRowFirstColumn="0" w:lastRowLastColumn="0"/>
            <w:tcW w:w="2694" w:type="dxa"/>
            <w:shd w:val="clear" w:color="auto" w:fill="D9D9D9" w:themeFill="background1" w:themeFillShade="D9"/>
            <w:vAlign w:val="center"/>
            <w:hideMark/>
          </w:tcPr>
          <w:p w14:paraId="349F6E0A" w14:textId="041C2F40" w:rsidR="007C57E7" w:rsidRPr="00B57D75" w:rsidRDefault="007C57E7" w:rsidP="007C57E7">
            <w:pPr>
              <w:spacing w:after="0" w:line="240" w:lineRule="auto"/>
              <w:ind w:firstLine="0"/>
              <w:jc w:val="center"/>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Grupo Tarifario por tipo de Usuario</w:t>
            </w:r>
          </w:p>
        </w:tc>
        <w:tc>
          <w:tcPr>
            <w:tcW w:w="1134" w:type="dxa"/>
            <w:shd w:val="clear" w:color="auto" w:fill="D9D9D9" w:themeFill="background1" w:themeFillShade="D9"/>
            <w:vAlign w:val="center"/>
            <w:hideMark/>
          </w:tcPr>
          <w:p w14:paraId="634D3B3D" w14:textId="77777777" w:rsidR="007C57E7" w:rsidRPr="00B57D75" w:rsidRDefault="007C57E7" w:rsidP="007C57E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proofErr w:type="spellStart"/>
            <w:r w:rsidRPr="00B57D75">
              <w:rPr>
                <w:rFonts w:ascii="Calibri" w:eastAsia="Times New Roman" w:hAnsi="Calibri" w:cs="Calibri"/>
                <w:color w:val="000000"/>
                <w:sz w:val="20"/>
                <w:szCs w:val="20"/>
                <w:lang w:val="en-GB" w:eastAsia="en-GB"/>
              </w:rPr>
              <w:t>Ingresos</w:t>
            </w:r>
            <w:proofErr w:type="spellEnd"/>
            <w:r w:rsidRPr="00B57D75">
              <w:rPr>
                <w:rFonts w:ascii="Calibri" w:eastAsia="Times New Roman" w:hAnsi="Calibri" w:cs="Calibri"/>
                <w:color w:val="000000"/>
                <w:sz w:val="20"/>
                <w:szCs w:val="20"/>
                <w:lang w:val="en-GB" w:eastAsia="en-GB"/>
              </w:rPr>
              <w:t xml:space="preserve"> por Tarifa Técnica</w:t>
            </w:r>
          </w:p>
        </w:tc>
        <w:tc>
          <w:tcPr>
            <w:tcW w:w="1416" w:type="dxa"/>
            <w:shd w:val="clear" w:color="auto" w:fill="D9D9D9" w:themeFill="background1" w:themeFillShade="D9"/>
            <w:vAlign w:val="center"/>
            <w:hideMark/>
          </w:tcPr>
          <w:p w14:paraId="24E6898D" w14:textId="77777777" w:rsidR="007C57E7" w:rsidRPr="00B57D75" w:rsidRDefault="007C57E7" w:rsidP="007C57E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Ingresos directos por Tarifa que reciben las empresas</w:t>
            </w:r>
          </w:p>
        </w:tc>
        <w:tc>
          <w:tcPr>
            <w:tcW w:w="1615" w:type="dxa"/>
            <w:shd w:val="clear" w:color="auto" w:fill="D9D9D9" w:themeFill="background1" w:themeFillShade="D9"/>
            <w:vAlign w:val="center"/>
            <w:hideMark/>
          </w:tcPr>
          <w:p w14:paraId="3B379966" w14:textId="69B1B209" w:rsidR="007C57E7" w:rsidRPr="00B57D75" w:rsidRDefault="00995906" w:rsidP="007C57E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Compensaciones por el Sistema de Boleto Integrado</w:t>
            </w:r>
          </w:p>
        </w:tc>
        <w:tc>
          <w:tcPr>
            <w:tcW w:w="1615" w:type="dxa"/>
            <w:shd w:val="clear" w:color="auto" w:fill="D9D9D9" w:themeFill="background1" w:themeFillShade="D9"/>
            <w:vAlign w:val="center"/>
            <w:hideMark/>
          </w:tcPr>
          <w:p w14:paraId="5F04BA37" w14:textId="7CBFCD56" w:rsidR="007C57E7" w:rsidRPr="00B57D75" w:rsidRDefault="007C57E7" w:rsidP="007C57E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Compensaciones Tarifarias a la Demanda</w:t>
            </w:r>
          </w:p>
        </w:tc>
        <w:tc>
          <w:tcPr>
            <w:tcW w:w="1279" w:type="dxa"/>
            <w:shd w:val="clear" w:color="auto" w:fill="D9D9D9" w:themeFill="background1" w:themeFillShade="D9"/>
            <w:vAlign w:val="center"/>
            <w:hideMark/>
          </w:tcPr>
          <w:p w14:paraId="5368B9DA" w14:textId="527470D6" w:rsidR="007C57E7" w:rsidRPr="00B57D75" w:rsidRDefault="007C57E7" w:rsidP="007C57E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Porcentaje de la Tarifa Técnica compensado</w:t>
            </w:r>
          </w:p>
        </w:tc>
      </w:tr>
      <w:tr w:rsidR="00F51A6C" w:rsidRPr="00B57D75" w14:paraId="50371D23" w14:textId="77777777" w:rsidTr="0069319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14EC715D" w14:textId="77777777" w:rsidR="00F51A6C" w:rsidRPr="00B57D75" w:rsidRDefault="00F51A6C" w:rsidP="00F51A6C">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D.F</w:t>
            </w:r>
          </w:p>
        </w:tc>
        <w:tc>
          <w:tcPr>
            <w:tcW w:w="1134" w:type="dxa"/>
            <w:noWrap/>
            <w:vAlign w:val="center"/>
            <w:hideMark/>
          </w:tcPr>
          <w:p w14:paraId="4DC5A82B"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1.905,4</w:t>
            </w:r>
          </w:p>
        </w:tc>
        <w:tc>
          <w:tcPr>
            <w:tcW w:w="1416" w:type="dxa"/>
            <w:noWrap/>
            <w:vAlign w:val="center"/>
            <w:hideMark/>
          </w:tcPr>
          <w:p w14:paraId="32D159FB"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321,6</w:t>
            </w:r>
          </w:p>
        </w:tc>
        <w:tc>
          <w:tcPr>
            <w:tcW w:w="1615" w:type="dxa"/>
            <w:noWrap/>
            <w:vAlign w:val="center"/>
            <w:hideMark/>
          </w:tcPr>
          <w:p w14:paraId="2475BC4A"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120,9</w:t>
            </w:r>
          </w:p>
        </w:tc>
        <w:tc>
          <w:tcPr>
            <w:tcW w:w="1615" w:type="dxa"/>
            <w:noWrap/>
            <w:vAlign w:val="center"/>
            <w:hideMark/>
          </w:tcPr>
          <w:p w14:paraId="53C52F02"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1.462,8</w:t>
            </w:r>
          </w:p>
        </w:tc>
        <w:tc>
          <w:tcPr>
            <w:tcW w:w="1279" w:type="dxa"/>
            <w:noWrap/>
            <w:vAlign w:val="center"/>
            <w:hideMark/>
          </w:tcPr>
          <w:p w14:paraId="4EA94E8C"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83,1%</w:t>
            </w:r>
          </w:p>
        </w:tc>
      </w:tr>
      <w:tr w:rsidR="00F51A6C" w:rsidRPr="00B57D75" w14:paraId="6A5AF848" w14:textId="77777777" w:rsidTr="00693199">
        <w:trPr>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6D659E1B"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n-GB" w:eastAsia="en-GB"/>
              </w:rPr>
            </w:pPr>
            <w:proofErr w:type="spellStart"/>
            <w:r w:rsidRPr="00B57D75">
              <w:rPr>
                <w:rFonts w:ascii="Calibri" w:eastAsia="Times New Roman" w:hAnsi="Calibri" w:cs="Calibri"/>
                <w:b w:val="0"/>
                <w:bCs w:val="0"/>
                <w:color w:val="000000"/>
                <w:sz w:val="20"/>
                <w:szCs w:val="20"/>
                <w:lang w:val="en-GB" w:eastAsia="en-GB"/>
              </w:rPr>
              <w:t>Usuarios</w:t>
            </w:r>
            <w:proofErr w:type="spellEnd"/>
            <w:r w:rsidRPr="00B57D75">
              <w:rPr>
                <w:rFonts w:ascii="Calibri" w:eastAsia="Times New Roman" w:hAnsi="Calibri" w:cs="Calibri"/>
                <w:b w:val="0"/>
                <w:bCs w:val="0"/>
                <w:color w:val="000000"/>
                <w:sz w:val="20"/>
                <w:szCs w:val="20"/>
                <w:lang w:val="en-GB" w:eastAsia="en-GB"/>
              </w:rPr>
              <w:t xml:space="preserve"> con </w:t>
            </w:r>
            <w:proofErr w:type="spellStart"/>
            <w:r w:rsidRPr="00B57D75">
              <w:rPr>
                <w:rFonts w:ascii="Calibri" w:eastAsia="Times New Roman" w:hAnsi="Calibri" w:cs="Calibri"/>
                <w:b w:val="0"/>
                <w:bCs w:val="0"/>
                <w:color w:val="000000"/>
                <w:sz w:val="20"/>
                <w:szCs w:val="20"/>
                <w:lang w:val="en-GB" w:eastAsia="en-GB"/>
              </w:rPr>
              <w:t>Atributo</w:t>
            </w:r>
            <w:proofErr w:type="spellEnd"/>
            <w:r w:rsidRPr="00B57D75">
              <w:rPr>
                <w:rFonts w:ascii="Calibri" w:eastAsia="Times New Roman" w:hAnsi="Calibri" w:cs="Calibri"/>
                <w:b w:val="0"/>
                <w:bCs w:val="0"/>
                <w:color w:val="000000"/>
                <w:sz w:val="20"/>
                <w:szCs w:val="20"/>
                <w:lang w:val="en-GB" w:eastAsia="en-GB"/>
              </w:rPr>
              <w:t xml:space="preserve"> Social</w:t>
            </w:r>
          </w:p>
        </w:tc>
        <w:tc>
          <w:tcPr>
            <w:tcW w:w="1134" w:type="dxa"/>
            <w:noWrap/>
            <w:vAlign w:val="center"/>
            <w:hideMark/>
          </w:tcPr>
          <w:p w14:paraId="6E6F5C34"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516,2</w:t>
            </w:r>
          </w:p>
        </w:tc>
        <w:tc>
          <w:tcPr>
            <w:tcW w:w="1416" w:type="dxa"/>
            <w:noWrap/>
            <w:vAlign w:val="center"/>
            <w:hideMark/>
          </w:tcPr>
          <w:p w14:paraId="41313465"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45,3</w:t>
            </w:r>
          </w:p>
        </w:tc>
        <w:tc>
          <w:tcPr>
            <w:tcW w:w="1615" w:type="dxa"/>
            <w:noWrap/>
            <w:vAlign w:val="center"/>
            <w:hideMark/>
          </w:tcPr>
          <w:p w14:paraId="17B3EA20"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76,5</w:t>
            </w:r>
          </w:p>
        </w:tc>
        <w:tc>
          <w:tcPr>
            <w:tcW w:w="1615" w:type="dxa"/>
            <w:noWrap/>
            <w:vAlign w:val="center"/>
            <w:hideMark/>
          </w:tcPr>
          <w:p w14:paraId="6C298286"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394,4</w:t>
            </w:r>
          </w:p>
        </w:tc>
        <w:tc>
          <w:tcPr>
            <w:tcW w:w="1279" w:type="dxa"/>
            <w:noWrap/>
            <w:vAlign w:val="center"/>
            <w:hideMark/>
          </w:tcPr>
          <w:p w14:paraId="0F8131AA"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91,2%</w:t>
            </w:r>
          </w:p>
        </w:tc>
      </w:tr>
      <w:tr w:rsidR="00F51A6C" w:rsidRPr="00B57D75" w14:paraId="4107A854" w14:textId="77777777" w:rsidTr="0069319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3EF3E4D5"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Usuarios con Boleto Estudiantil y/o gratuito</w:t>
            </w:r>
          </w:p>
        </w:tc>
        <w:tc>
          <w:tcPr>
            <w:tcW w:w="1134" w:type="dxa"/>
            <w:noWrap/>
            <w:vAlign w:val="center"/>
            <w:hideMark/>
          </w:tcPr>
          <w:p w14:paraId="2D9E90D4"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36,5</w:t>
            </w:r>
          </w:p>
        </w:tc>
        <w:tc>
          <w:tcPr>
            <w:tcW w:w="1416" w:type="dxa"/>
            <w:noWrap/>
            <w:vAlign w:val="center"/>
            <w:hideMark/>
          </w:tcPr>
          <w:p w14:paraId="3726D980"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0,2</w:t>
            </w:r>
          </w:p>
        </w:tc>
        <w:tc>
          <w:tcPr>
            <w:tcW w:w="1615" w:type="dxa"/>
            <w:noWrap/>
            <w:vAlign w:val="center"/>
            <w:hideMark/>
          </w:tcPr>
          <w:p w14:paraId="6872DE16"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10,0</w:t>
            </w:r>
          </w:p>
        </w:tc>
        <w:tc>
          <w:tcPr>
            <w:tcW w:w="1615" w:type="dxa"/>
            <w:noWrap/>
            <w:vAlign w:val="center"/>
            <w:hideMark/>
          </w:tcPr>
          <w:p w14:paraId="19BEE2FD"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26,3</w:t>
            </w:r>
          </w:p>
        </w:tc>
        <w:tc>
          <w:tcPr>
            <w:tcW w:w="1279" w:type="dxa"/>
            <w:noWrap/>
            <w:vAlign w:val="center"/>
            <w:hideMark/>
          </w:tcPr>
          <w:p w14:paraId="4B16B417"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99,5%</w:t>
            </w:r>
          </w:p>
        </w:tc>
      </w:tr>
      <w:tr w:rsidR="00F51A6C" w:rsidRPr="00B57D75" w14:paraId="60832294" w14:textId="77777777" w:rsidTr="00693199">
        <w:trPr>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5DD16D6A"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n-GB" w:eastAsia="en-GB"/>
              </w:rPr>
            </w:pPr>
            <w:proofErr w:type="spellStart"/>
            <w:r w:rsidRPr="00B57D75">
              <w:rPr>
                <w:rFonts w:ascii="Calibri" w:eastAsia="Times New Roman" w:hAnsi="Calibri" w:cs="Calibri"/>
                <w:b w:val="0"/>
                <w:bCs w:val="0"/>
                <w:color w:val="000000"/>
                <w:sz w:val="20"/>
                <w:szCs w:val="20"/>
                <w:lang w:val="en-GB" w:eastAsia="en-GB"/>
              </w:rPr>
              <w:t>Usuarios</w:t>
            </w:r>
            <w:proofErr w:type="spellEnd"/>
            <w:r w:rsidRPr="00B57D75">
              <w:rPr>
                <w:rFonts w:ascii="Calibri" w:eastAsia="Times New Roman" w:hAnsi="Calibri" w:cs="Calibri"/>
                <w:b w:val="0"/>
                <w:bCs w:val="0"/>
                <w:color w:val="000000"/>
                <w:sz w:val="20"/>
                <w:szCs w:val="20"/>
                <w:lang w:val="en-GB" w:eastAsia="en-GB"/>
              </w:rPr>
              <w:t xml:space="preserve"> sin </w:t>
            </w:r>
            <w:proofErr w:type="spellStart"/>
            <w:r w:rsidRPr="00B57D75">
              <w:rPr>
                <w:rFonts w:ascii="Calibri" w:eastAsia="Times New Roman" w:hAnsi="Calibri" w:cs="Calibri"/>
                <w:b w:val="0"/>
                <w:bCs w:val="0"/>
                <w:color w:val="000000"/>
                <w:sz w:val="20"/>
                <w:szCs w:val="20"/>
                <w:lang w:val="en-GB" w:eastAsia="en-GB"/>
              </w:rPr>
              <w:t>Atributo</w:t>
            </w:r>
            <w:proofErr w:type="spellEnd"/>
            <w:r w:rsidRPr="00B57D75">
              <w:rPr>
                <w:rFonts w:ascii="Calibri" w:eastAsia="Times New Roman" w:hAnsi="Calibri" w:cs="Calibri"/>
                <w:b w:val="0"/>
                <w:bCs w:val="0"/>
                <w:color w:val="000000"/>
                <w:sz w:val="20"/>
                <w:szCs w:val="20"/>
                <w:lang w:val="en-GB" w:eastAsia="en-GB"/>
              </w:rPr>
              <w:t xml:space="preserve"> Social</w:t>
            </w:r>
          </w:p>
        </w:tc>
        <w:tc>
          <w:tcPr>
            <w:tcW w:w="1134" w:type="dxa"/>
            <w:noWrap/>
            <w:vAlign w:val="center"/>
            <w:hideMark/>
          </w:tcPr>
          <w:p w14:paraId="465F5F9D"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1.352,7</w:t>
            </w:r>
          </w:p>
        </w:tc>
        <w:tc>
          <w:tcPr>
            <w:tcW w:w="1416" w:type="dxa"/>
            <w:noWrap/>
            <w:vAlign w:val="center"/>
            <w:hideMark/>
          </w:tcPr>
          <w:p w14:paraId="53E3D749"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276,1</w:t>
            </w:r>
          </w:p>
        </w:tc>
        <w:tc>
          <w:tcPr>
            <w:tcW w:w="1615" w:type="dxa"/>
            <w:noWrap/>
            <w:vAlign w:val="center"/>
            <w:hideMark/>
          </w:tcPr>
          <w:p w14:paraId="66C6EFC6"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34,4</w:t>
            </w:r>
          </w:p>
        </w:tc>
        <w:tc>
          <w:tcPr>
            <w:tcW w:w="1615" w:type="dxa"/>
            <w:noWrap/>
            <w:vAlign w:val="center"/>
            <w:hideMark/>
          </w:tcPr>
          <w:p w14:paraId="78E95A1D"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1.042,2</w:t>
            </w:r>
          </w:p>
        </w:tc>
        <w:tc>
          <w:tcPr>
            <w:tcW w:w="1279" w:type="dxa"/>
            <w:noWrap/>
            <w:vAlign w:val="center"/>
            <w:hideMark/>
          </w:tcPr>
          <w:p w14:paraId="2B330CE9"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79,6%</w:t>
            </w:r>
          </w:p>
        </w:tc>
      </w:tr>
      <w:tr w:rsidR="00F51A6C" w:rsidRPr="00B57D75" w14:paraId="0B6F0581" w14:textId="77777777" w:rsidTr="0069319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21D2831A" w14:textId="77777777" w:rsidR="00F51A6C" w:rsidRPr="00B57D75" w:rsidRDefault="00F51A6C" w:rsidP="00F51A6C">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S.</w:t>
            </w:r>
            <w:proofErr w:type="gramStart"/>
            <w:r w:rsidRPr="00B57D75">
              <w:rPr>
                <w:rFonts w:ascii="Calibri" w:eastAsia="Times New Roman" w:hAnsi="Calibri" w:cs="Calibri"/>
                <w:color w:val="000000"/>
                <w:sz w:val="20"/>
                <w:szCs w:val="20"/>
                <w:lang w:val="en-GB" w:eastAsia="en-GB"/>
              </w:rPr>
              <w:t>G.I</w:t>
            </w:r>
            <w:proofErr w:type="gramEnd"/>
          </w:p>
        </w:tc>
        <w:tc>
          <w:tcPr>
            <w:tcW w:w="1134" w:type="dxa"/>
            <w:noWrap/>
            <w:vAlign w:val="center"/>
            <w:hideMark/>
          </w:tcPr>
          <w:p w14:paraId="23FC2F2C"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7.767,3</w:t>
            </w:r>
          </w:p>
        </w:tc>
        <w:tc>
          <w:tcPr>
            <w:tcW w:w="1416" w:type="dxa"/>
            <w:noWrap/>
            <w:vAlign w:val="center"/>
            <w:hideMark/>
          </w:tcPr>
          <w:p w14:paraId="1CAA83B4"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1.217,8</w:t>
            </w:r>
          </w:p>
        </w:tc>
        <w:tc>
          <w:tcPr>
            <w:tcW w:w="1615" w:type="dxa"/>
            <w:noWrap/>
            <w:vAlign w:val="center"/>
            <w:hideMark/>
          </w:tcPr>
          <w:p w14:paraId="548B4643"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521,7</w:t>
            </w:r>
          </w:p>
        </w:tc>
        <w:tc>
          <w:tcPr>
            <w:tcW w:w="1615" w:type="dxa"/>
            <w:noWrap/>
            <w:vAlign w:val="center"/>
            <w:hideMark/>
          </w:tcPr>
          <w:p w14:paraId="7E13692E"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6.027,8</w:t>
            </w:r>
          </w:p>
        </w:tc>
        <w:tc>
          <w:tcPr>
            <w:tcW w:w="1279" w:type="dxa"/>
            <w:noWrap/>
            <w:vAlign w:val="center"/>
            <w:hideMark/>
          </w:tcPr>
          <w:p w14:paraId="49B6F8AE"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84,3%</w:t>
            </w:r>
          </w:p>
        </w:tc>
      </w:tr>
      <w:tr w:rsidR="00F51A6C" w:rsidRPr="00B57D75" w14:paraId="6A78A802" w14:textId="77777777" w:rsidTr="00693199">
        <w:trPr>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3D32D49E"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n-GB" w:eastAsia="en-GB"/>
              </w:rPr>
            </w:pPr>
            <w:proofErr w:type="spellStart"/>
            <w:r w:rsidRPr="00B57D75">
              <w:rPr>
                <w:rFonts w:ascii="Calibri" w:eastAsia="Times New Roman" w:hAnsi="Calibri" w:cs="Calibri"/>
                <w:b w:val="0"/>
                <w:bCs w:val="0"/>
                <w:color w:val="000000"/>
                <w:sz w:val="20"/>
                <w:szCs w:val="20"/>
                <w:lang w:val="en-GB" w:eastAsia="en-GB"/>
              </w:rPr>
              <w:t>Usuarios</w:t>
            </w:r>
            <w:proofErr w:type="spellEnd"/>
            <w:r w:rsidRPr="00B57D75">
              <w:rPr>
                <w:rFonts w:ascii="Calibri" w:eastAsia="Times New Roman" w:hAnsi="Calibri" w:cs="Calibri"/>
                <w:b w:val="0"/>
                <w:bCs w:val="0"/>
                <w:color w:val="000000"/>
                <w:sz w:val="20"/>
                <w:szCs w:val="20"/>
                <w:lang w:val="en-GB" w:eastAsia="en-GB"/>
              </w:rPr>
              <w:t xml:space="preserve"> con </w:t>
            </w:r>
            <w:proofErr w:type="spellStart"/>
            <w:r w:rsidRPr="00B57D75">
              <w:rPr>
                <w:rFonts w:ascii="Calibri" w:eastAsia="Times New Roman" w:hAnsi="Calibri" w:cs="Calibri"/>
                <w:b w:val="0"/>
                <w:bCs w:val="0"/>
                <w:color w:val="000000"/>
                <w:sz w:val="20"/>
                <w:szCs w:val="20"/>
                <w:lang w:val="en-GB" w:eastAsia="en-GB"/>
              </w:rPr>
              <w:t>Atributo</w:t>
            </w:r>
            <w:proofErr w:type="spellEnd"/>
            <w:r w:rsidRPr="00B57D75">
              <w:rPr>
                <w:rFonts w:ascii="Calibri" w:eastAsia="Times New Roman" w:hAnsi="Calibri" w:cs="Calibri"/>
                <w:b w:val="0"/>
                <w:bCs w:val="0"/>
                <w:color w:val="000000"/>
                <w:sz w:val="20"/>
                <w:szCs w:val="20"/>
                <w:lang w:val="en-GB" w:eastAsia="en-GB"/>
              </w:rPr>
              <w:t xml:space="preserve"> Social</w:t>
            </w:r>
          </w:p>
        </w:tc>
        <w:tc>
          <w:tcPr>
            <w:tcW w:w="1134" w:type="dxa"/>
            <w:noWrap/>
            <w:vAlign w:val="center"/>
            <w:hideMark/>
          </w:tcPr>
          <w:p w14:paraId="6213986C"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2.525,0</w:t>
            </w:r>
          </w:p>
        </w:tc>
        <w:tc>
          <w:tcPr>
            <w:tcW w:w="1416" w:type="dxa"/>
            <w:noWrap/>
            <w:vAlign w:val="center"/>
            <w:hideMark/>
          </w:tcPr>
          <w:p w14:paraId="24CB5E13"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216,8</w:t>
            </w:r>
          </w:p>
        </w:tc>
        <w:tc>
          <w:tcPr>
            <w:tcW w:w="1615" w:type="dxa"/>
            <w:noWrap/>
            <w:vAlign w:val="center"/>
            <w:hideMark/>
          </w:tcPr>
          <w:p w14:paraId="28E4B587"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351,1</w:t>
            </w:r>
          </w:p>
        </w:tc>
        <w:tc>
          <w:tcPr>
            <w:tcW w:w="1615" w:type="dxa"/>
            <w:noWrap/>
            <w:vAlign w:val="center"/>
            <w:hideMark/>
          </w:tcPr>
          <w:p w14:paraId="6914BF7A"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1.957,1</w:t>
            </w:r>
          </w:p>
        </w:tc>
        <w:tc>
          <w:tcPr>
            <w:tcW w:w="1279" w:type="dxa"/>
            <w:noWrap/>
            <w:vAlign w:val="center"/>
            <w:hideMark/>
          </w:tcPr>
          <w:p w14:paraId="5C029771"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91,4%</w:t>
            </w:r>
          </w:p>
        </w:tc>
      </w:tr>
      <w:tr w:rsidR="00F51A6C" w:rsidRPr="00B57D75" w14:paraId="6A137215" w14:textId="77777777" w:rsidTr="0069319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31D24C63"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Usuarios con Boleto Estudiantil y/o gratuito</w:t>
            </w:r>
          </w:p>
        </w:tc>
        <w:tc>
          <w:tcPr>
            <w:tcW w:w="1134" w:type="dxa"/>
            <w:noWrap/>
            <w:vAlign w:val="center"/>
            <w:hideMark/>
          </w:tcPr>
          <w:p w14:paraId="6BC94EE0"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137,3</w:t>
            </w:r>
          </w:p>
        </w:tc>
        <w:tc>
          <w:tcPr>
            <w:tcW w:w="1416" w:type="dxa"/>
            <w:noWrap/>
            <w:vAlign w:val="center"/>
            <w:hideMark/>
          </w:tcPr>
          <w:p w14:paraId="24E3CA35"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0,6</w:t>
            </w:r>
          </w:p>
        </w:tc>
        <w:tc>
          <w:tcPr>
            <w:tcW w:w="1615" w:type="dxa"/>
            <w:noWrap/>
            <w:vAlign w:val="center"/>
            <w:hideMark/>
          </w:tcPr>
          <w:p w14:paraId="51D11D35"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38,8</w:t>
            </w:r>
          </w:p>
        </w:tc>
        <w:tc>
          <w:tcPr>
            <w:tcW w:w="1615" w:type="dxa"/>
            <w:noWrap/>
            <w:vAlign w:val="center"/>
            <w:hideMark/>
          </w:tcPr>
          <w:p w14:paraId="5E5A5ECE"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97,9</w:t>
            </w:r>
          </w:p>
        </w:tc>
        <w:tc>
          <w:tcPr>
            <w:tcW w:w="1279" w:type="dxa"/>
            <w:noWrap/>
            <w:vAlign w:val="center"/>
            <w:hideMark/>
          </w:tcPr>
          <w:p w14:paraId="4BF3FBE6"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99,6%</w:t>
            </w:r>
          </w:p>
        </w:tc>
      </w:tr>
      <w:tr w:rsidR="00F51A6C" w:rsidRPr="00B57D75" w14:paraId="2F67D8D0" w14:textId="77777777" w:rsidTr="00693199">
        <w:trPr>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070C6D11"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n-GB" w:eastAsia="en-GB"/>
              </w:rPr>
            </w:pPr>
            <w:proofErr w:type="spellStart"/>
            <w:r w:rsidRPr="00B57D75">
              <w:rPr>
                <w:rFonts w:ascii="Calibri" w:eastAsia="Times New Roman" w:hAnsi="Calibri" w:cs="Calibri"/>
                <w:b w:val="0"/>
                <w:bCs w:val="0"/>
                <w:color w:val="000000"/>
                <w:sz w:val="20"/>
                <w:szCs w:val="20"/>
                <w:lang w:val="en-GB" w:eastAsia="en-GB"/>
              </w:rPr>
              <w:t>Usuarios</w:t>
            </w:r>
            <w:proofErr w:type="spellEnd"/>
            <w:r w:rsidRPr="00B57D75">
              <w:rPr>
                <w:rFonts w:ascii="Calibri" w:eastAsia="Times New Roman" w:hAnsi="Calibri" w:cs="Calibri"/>
                <w:b w:val="0"/>
                <w:bCs w:val="0"/>
                <w:color w:val="000000"/>
                <w:sz w:val="20"/>
                <w:szCs w:val="20"/>
                <w:lang w:val="en-GB" w:eastAsia="en-GB"/>
              </w:rPr>
              <w:t xml:space="preserve"> sin </w:t>
            </w:r>
            <w:proofErr w:type="spellStart"/>
            <w:r w:rsidRPr="00B57D75">
              <w:rPr>
                <w:rFonts w:ascii="Calibri" w:eastAsia="Times New Roman" w:hAnsi="Calibri" w:cs="Calibri"/>
                <w:b w:val="0"/>
                <w:bCs w:val="0"/>
                <w:color w:val="000000"/>
                <w:sz w:val="20"/>
                <w:szCs w:val="20"/>
                <w:lang w:val="en-GB" w:eastAsia="en-GB"/>
              </w:rPr>
              <w:t>Atributo</w:t>
            </w:r>
            <w:proofErr w:type="spellEnd"/>
            <w:r w:rsidRPr="00B57D75">
              <w:rPr>
                <w:rFonts w:ascii="Calibri" w:eastAsia="Times New Roman" w:hAnsi="Calibri" w:cs="Calibri"/>
                <w:b w:val="0"/>
                <w:bCs w:val="0"/>
                <w:color w:val="000000"/>
                <w:sz w:val="20"/>
                <w:szCs w:val="20"/>
                <w:lang w:val="en-GB" w:eastAsia="en-GB"/>
              </w:rPr>
              <w:t xml:space="preserve"> Social</w:t>
            </w:r>
          </w:p>
        </w:tc>
        <w:tc>
          <w:tcPr>
            <w:tcW w:w="1134" w:type="dxa"/>
            <w:noWrap/>
            <w:vAlign w:val="center"/>
            <w:hideMark/>
          </w:tcPr>
          <w:p w14:paraId="02C0EC10"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5.105,0</w:t>
            </w:r>
          </w:p>
        </w:tc>
        <w:tc>
          <w:tcPr>
            <w:tcW w:w="1416" w:type="dxa"/>
            <w:noWrap/>
            <w:vAlign w:val="center"/>
            <w:hideMark/>
          </w:tcPr>
          <w:p w14:paraId="3E2CCED8"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1.000,4</w:t>
            </w:r>
          </w:p>
        </w:tc>
        <w:tc>
          <w:tcPr>
            <w:tcW w:w="1615" w:type="dxa"/>
            <w:noWrap/>
            <w:vAlign w:val="center"/>
            <w:hideMark/>
          </w:tcPr>
          <w:p w14:paraId="580814AE"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131,8</w:t>
            </w:r>
          </w:p>
        </w:tc>
        <w:tc>
          <w:tcPr>
            <w:tcW w:w="1615" w:type="dxa"/>
            <w:noWrap/>
            <w:vAlign w:val="center"/>
            <w:hideMark/>
          </w:tcPr>
          <w:p w14:paraId="490E2A62"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3.972,8</w:t>
            </w:r>
          </w:p>
        </w:tc>
        <w:tc>
          <w:tcPr>
            <w:tcW w:w="1279" w:type="dxa"/>
            <w:noWrap/>
            <w:vAlign w:val="center"/>
            <w:hideMark/>
          </w:tcPr>
          <w:p w14:paraId="3F7CBCE8"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80,4%</w:t>
            </w:r>
          </w:p>
        </w:tc>
      </w:tr>
      <w:tr w:rsidR="00F51A6C" w:rsidRPr="00B57D75" w14:paraId="1A10E9B7" w14:textId="77777777" w:rsidTr="0069319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3DF576CF" w14:textId="77777777" w:rsidR="00F51A6C" w:rsidRPr="00B57D75" w:rsidRDefault="00F51A6C" w:rsidP="00F51A6C">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S.</w:t>
            </w:r>
            <w:proofErr w:type="gramStart"/>
            <w:r w:rsidRPr="00B57D75">
              <w:rPr>
                <w:rFonts w:ascii="Calibri" w:eastAsia="Times New Roman" w:hAnsi="Calibri" w:cs="Calibri"/>
                <w:color w:val="000000"/>
                <w:sz w:val="20"/>
                <w:szCs w:val="20"/>
                <w:lang w:val="en-GB" w:eastAsia="en-GB"/>
              </w:rPr>
              <w:t>G.II</w:t>
            </w:r>
            <w:proofErr w:type="gramEnd"/>
          </w:p>
        </w:tc>
        <w:tc>
          <w:tcPr>
            <w:tcW w:w="1134" w:type="dxa"/>
            <w:noWrap/>
            <w:vAlign w:val="center"/>
            <w:hideMark/>
          </w:tcPr>
          <w:p w14:paraId="0CDBB579"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332,1</w:t>
            </w:r>
          </w:p>
        </w:tc>
        <w:tc>
          <w:tcPr>
            <w:tcW w:w="1416" w:type="dxa"/>
            <w:noWrap/>
            <w:vAlign w:val="center"/>
            <w:hideMark/>
          </w:tcPr>
          <w:p w14:paraId="63CDA75D"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143,4</w:t>
            </w:r>
          </w:p>
        </w:tc>
        <w:tc>
          <w:tcPr>
            <w:tcW w:w="1615" w:type="dxa"/>
            <w:noWrap/>
            <w:vAlign w:val="center"/>
            <w:hideMark/>
          </w:tcPr>
          <w:p w14:paraId="639A94C4"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70,5</w:t>
            </w:r>
          </w:p>
        </w:tc>
        <w:tc>
          <w:tcPr>
            <w:tcW w:w="1615" w:type="dxa"/>
            <w:noWrap/>
            <w:vAlign w:val="center"/>
            <w:hideMark/>
          </w:tcPr>
          <w:p w14:paraId="3C4A1851"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118,2</w:t>
            </w:r>
          </w:p>
        </w:tc>
        <w:tc>
          <w:tcPr>
            <w:tcW w:w="1279" w:type="dxa"/>
            <w:noWrap/>
            <w:vAlign w:val="center"/>
            <w:hideMark/>
          </w:tcPr>
          <w:p w14:paraId="0193B199"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56,8%</w:t>
            </w:r>
          </w:p>
        </w:tc>
      </w:tr>
      <w:tr w:rsidR="00F51A6C" w:rsidRPr="00B57D75" w14:paraId="4B681E22" w14:textId="77777777" w:rsidTr="00693199">
        <w:trPr>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15E2CEA0"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n-GB" w:eastAsia="en-GB"/>
              </w:rPr>
            </w:pPr>
            <w:proofErr w:type="spellStart"/>
            <w:r w:rsidRPr="00B57D75">
              <w:rPr>
                <w:rFonts w:ascii="Calibri" w:eastAsia="Times New Roman" w:hAnsi="Calibri" w:cs="Calibri"/>
                <w:b w:val="0"/>
                <w:bCs w:val="0"/>
                <w:color w:val="000000"/>
                <w:sz w:val="20"/>
                <w:szCs w:val="20"/>
                <w:lang w:val="en-GB" w:eastAsia="en-GB"/>
              </w:rPr>
              <w:t>Usuarios</w:t>
            </w:r>
            <w:proofErr w:type="spellEnd"/>
            <w:r w:rsidRPr="00B57D75">
              <w:rPr>
                <w:rFonts w:ascii="Calibri" w:eastAsia="Times New Roman" w:hAnsi="Calibri" w:cs="Calibri"/>
                <w:b w:val="0"/>
                <w:bCs w:val="0"/>
                <w:color w:val="000000"/>
                <w:sz w:val="20"/>
                <w:szCs w:val="20"/>
                <w:lang w:val="en-GB" w:eastAsia="en-GB"/>
              </w:rPr>
              <w:t xml:space="preserve"> con </w:t>
            </w:r>
            <w:proofErr w:type="spellStart"/>
            <w:r w:rsidRPr="00B57D75">
              <w:rPr>
                <w:rFonts w:ascii="Calibri" w:eastAsia="Times New Roman" w:hAnsi="Calibri" w:cs="Calibri"/>
                <w:b w:val="0"/>
                <w:bCs w:val="0"/>
                <w:color w:val="000000"/>
                <w:sz w:val="20"/>
                <w:szCs w:val="20"/>
                <w:lang w:val="en-GB" w:eastAsia="en-GB"/>
              </w:rPr>
              <w:t>Atributo</w:t>
            </w:r>
            <w:proofErr w:type="spellEnd"/>
            <w:r w:rsidRPr="00B57D75">
              <w:rPr>
                <w:rFonts w:ascii="Calibri" w:eastAsia="Times New Roman" w:hAnsi="Calibri" w:cs="Calibri"/>
                <w:b w:val="0"/>
                <w:bCs w:val="0"/>
                <w:color w:val="000000"/>
                <w:sz w:val="20"/>
                <w:szCs w:val="20"/>
                <w:lang w:val="en-GB" w:eastAsia="en-GB"/>
              </w:rPr>
              <w:t xml:space="preserve"> Social</w:t>
            </w:r>
          </w:p>
        </w:tc>
        <w:tc>
          <w:tcPr>
            <w:tcW w:w="1134" w:type="dxa"/>
            <w:noWrap/>
            <w:vAlign w:val="center"/>
            <w:hideMark/>
          </w:tcPr>
          <w:p w14:paraId="391D977F"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195,6</w:t>
            </w:r>
          </w:p>
        </w:tc>
        <w:tc>
          <w:tcPr>
            <w:tcW w:w="1416" w:type="dxa"/>
            <w:noWrap/>
            <w:vAlign w:val="center"/>
            <w:hideMark/>
          </w:tcPr>
          <w:p w14:paraId="3F49AA48"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62,3</w:t>
            </w:r>
          </w:p>
        </w:tc>
        <w:tc>
          <w:tcPr>
            <w:tcW w:w="1615" w:type="dxa"/>
            <w:noWrap/>
            <w:vAlign w:val="center"/>
            <w:hideMark/>
          </w:tcPr>
          <w:p w14:paraId="081664BA"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67,0</w:t>
            </w:r>
          </w:p>
        </w:tc>
        <w:tc>
          <w:tcPr>
            <w:tcW w:w="1615" w:type="dxa"/>
            <w:noWrap/>
            <w:vAlign w:val="center"/>
            <w:hideMark/>
          </w:tcPr>
          <w:p w14:paraId="5E22DB81"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66,4</w:t>
            </w:r>
          </w:p>
        </w:tc>
        <w:tc>
          <w:tcPr>
            <w:tcW w:w="1279" w:type="dxa"/>
            <w:noWrap/>
            <w:vAlign w:val="center"/>
            <w:hideMark/>
          </w:tcPr>
          <w:p w14:paraId="7A4BDCF2"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68,2%</w:t>
            </w:r>
          </w:p>
        </w:tc>
      </w:tr>
      <w:tr w:rsidR="00F51A6C" w:rsidRPr="00B57D75" w14:paraId="36F9B337" w14:textId="77777777" w:rsidTr="0069319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7458DFAE"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Usuarios con Boleto Estudiantil y/o gratuito</w:t>
            </w:r>
          </w:p>
        </w:tc>
        <w:tc>
          <w:tcPr>
            <w:tcW w:w="1134" w:type="dxa"/>
            <w:noWrap/>
            <w:vAlign w:val="center"/>
            <w:hideMark/>
          </w:tcPr>
          <w:p w14:paraId="108A148B"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2,7</w:t>
            </w:r>
          </w:p>
        </w:tc>
        <w:tc>
          <w:tcPr>
            <w:tcW w:w="1416" w:type="dxa"/>
            <w:noWrap/>
            <w:vAlign w:val="center"/>
            <w:hideMark/>
          </w:tcPr>
          <w:p w14:paraId="1C42D591"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0,0</w:t>
            </w:r>
          </w:p>
        </w:tc>
        <w:tc>
          <w:tcPr>
            <w:tcW w:w="1615" w:type="dxa"/>
            <w:noWrap/>
            <w:vAlign w:val="center"/>
            <w:hideMark/>
          </w:tcPr>
          <w:p w14:paraId="4B07D093"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1,1</w:t>
            </w:r>
          </w:p>
        </w:tc>
        <w:tc>
          <w:tcPr>
            <w:tcW w:w="1615" w:type="dxa"/>
            <w:noWrap/>
            <w:vAlign w:val="center"/>
            <w:hideMark/>
          </w:tcPr>
          <w:p w14:paraId="05D97A63"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1,6</w:t>
            </w:r>
          </w:p>
        </w:tc>
        <w:tc>
          <w:tcPr>
            <w:tcW w:w="1279" w:type="dxa"/>
            <w:noWrap/>
            <w:vAlign w:val="center"/>
            <w:hideMark/>
          </w:tcPr>
          <w:p w14:paraId="0338D96C"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99,3%</w:t>
            </w:r>
          </w:p>
        </w:tc>
      </w:tr>
      <w:tr w:rsidR="00F51A6C" w:rsidRPr="00B57D75" w14:paraId="28131E3A" w14:textId="77777777" w:rsidTr="00693199">
        <w:trPr>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245D1A8E" w14:textId="77777777" w:rsidR="00F51A6C" w:rsidRPr="00B57D75" w:rsidRDefault="00F51A6C" w:rsidP="00F51A6C">
            <w:pPr>
              <w:spacing w:after="0" w:line="240" w:lineRule="auto"/>
              <w:ind w:firstLine="0"/>
              <w:rPr>
                <w:rFonts w:ascii="Calibri" w:eastAsia="Times New Roman" w:hAnsi="Calibri" w:cs="Calibri"/>
                <w:b w:val="0"/>
                <w:bCs w:val="0"/>
                <w:color w:val="000000"/>
                <w:sz w:val="20"/>
                <w:szCs w:val="20"/>
                <w:lang w:val="en-GB" w:eastAsia="en-GB"/>
              </w:rPr>
            </w:pPr>
            <w:proofErr w:type="spellStart"/>
            <w:r w:rsidRPr="00B57D75">
              <w:rPr>
                <w:rFonts w:ascii="Calibri" w:eastAsia="Times New Roman" w:hAnsi="Calibri" w:cs="Calibri"/>
                <w:b w:val="0"/>
                <w:bCs w:val="0"/>
                <w:color w:val="000000"/>
                <w:sz w:val="20"/>
                <w:szCs w:val="20"/>
                <w:lang w:val="en-GB" w:eastAsia="en-GB"/>
              </w:rPr>
              <w:t>Usuarios</w:t>
            </w:r>
            <w:proofErr w:type="spellEnd"/>
            <w:r w:rsidRPr="00B57D75">
              <w:rPr>
                <w:rFonts w:ascii="Calibri" w:eastAsia="Times New Roman" w:hAnsi="Calibri" w:cs="Calibri"/>
                <w:b w:val="0"/>
                <w:bCs w:val="0"/>
                <w:color w:val="000000"/>
                <w:sz w:val="20"/>
                <w:szCs w:val="20"/>
                <w:lang w:val="en-GB" w:eastAsia="en-GB"/>
              </w:rPr>
              <w:t xml:space="preserve"> sin </w:t>
            </w:r>
            <w:proofErr w:type="spellStart"/>
            <w:r w:rsidRPr="00B57D75">
              <w:rPr>
                <w:rFonts w:ascii="Calibri" w:eastAsia="Times New Roman" w:hAnsi="Calibri" w:cs="Calibri"/>
                <w:b w:val="0"/>
                <w:bCs w:val="0"/>
                <w:color w:val="000000"/>
                <w:sz w:val="20"/>
                <w:szCs w:val="20"/>
                <w:lang w:val="en-GB" w:eastAsia="en-GB"/>
              </w:rPr>
              <w:t>Atributo</w:t>
            </w:r>
            <w:proofErr w:type="spellEnd"/>
            <w:r w:rsidRPr="00B57D75">
              <w:rPr>
                <w:rFonts w:ascii="Calibri" w:eastAsia="Times New Roman" w:hAnsi="Calibri" w:cs="Calibri"/>
                <w:b w:val="0"/>
                <w:bCs w:val="0"/>
                <w:color w:val="000000"/>
                <w:sz w:val="20"/>
                <w:szCs w:val="20"/>
                <w:lang w:val="en-GB" w:eastAsia="en-GB"/>
              </w:rPr>
              <w:t xml:space="preserve"> Social</w:t>
            </w:r>
          </w:p>
        </w:tc>
        <w:tc>
          <w:tcPr>
            <w:tcW w:w="1134" w:type="dxa"/>
            <w:noWrap/>
            <w:vAlign w:val="center"/>
            <w:hideMark/>
          </w:tcPr>
          <w:p w14:paraId="22D06E56"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133,8</w:t>
            </w:r>
          </w:p>
        </w:tc>
        <w:tc>
          <w:tcPr>
            <w:tcW w:w="1416" w:type="dxa"/>
            <w:noWrap/>
            <w:vAlign w:val="center"/>
            <w:hideMark/>
          </w:tcPr>
          <w:p w14:paraId="3125AE49"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81,1</w:t>
            </w:r>
          </w:p>
        </w:tc>
        <w:tc>
          <w:tcPr>
            <w:tcW w:w="1615" w:type="dxa"/>
            <w:noWrap/>
            <w:vAlign w:val="center"/>
            <w:hideMark/>
          </w:tcPr>
          <w:p w14:paraId="0D9C0695"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2,4</w:t>
            </w:r>
          </w:p>
        </w:tc>
        <w:tc>
          <w:tcPr>
            <w:tcW w:w="1615" w:type="dxa"/>
            <w:noWrap/>
            <w:vAlign w:val="center"/>
            <w:hideMark/>
          </w:tcPr>
          <w:p w14:paraId="35B5305C"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50,3</w:t>
            </w:r>
          </w:p>
        </w:tc>
        <w:tc>
          <w:tcPr>
            <w:tcW w:w="1279" w:type="dxa"/>
            <w:noWrap/>
            <w:vAlign w:val="center"/>
            <w:hideMark/>
          </w:tcPr>
          <w:p w14:paraId="030D160A" w14:textId="77777777" w:rsidR="00F51A6C" w:rsidRPr="00B57D75" w:rsidRDefault="00F51A6C" w:rsidP="00F51A6C">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39,4%</w:t>
            </w:r>
          </w:p>
        </w:tc>
      </w:tr>
      <w:tr w:rsidR="00F51A6C" w:rsidRPr="00B57D75" w14:paraId="4320F372" w14:textId="77777777" w:rsidTr="0069319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4" w:type="dxa"/>
            <w:noWrap/>
            <w:vAlign w:val="center"/>
            <w:hideMark/>
          </w:tcPr>
          <w:p w14:paraId="007B7171" w14:textId="1B62D680" w:rsidR="00F51A6C" w:rsidRPr="00B57D75" w:rsidRDefault="00F51A6C" w:rsidP="00F51A6C">
            <w:pPr>
              <w:spacing w:after="0" w:line="240" w:lineRule="auto"/>
              <w:ind w:firstLine="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Total</w:t>
            </w:r>
          </w:p>
        </w:tc>
        <w:tc>
          <w:tcPr>
            <w:tcW w:w="1134" w:type="dxa"/>
            <w:noWrap/>
            <w:vAlign w:val="center"/>
            <w:hideMark/>
          </w:tcPr>
          <w:p w14:paraId="1ABBA26B"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10.004,8</w:t>
            </w:r>
          </w:p>
        </w:tc>
        <w:tc>
          <w:tcPr>
            <w:tcW w:w="1416" w:type="dxa"/>
            <w:noWrap/>
            <w:vAlign w:val="center"/>
            <w:hideMark/>
          </w:tcPr>
          <w:p w14:paraId="2B529659"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1.682,8</w:t>
            </w:r>
          </w:p>
        </w:tc>
        <w:tc>
          <w:tcPr>
            <w:tcW w:w="1615" w:type="dxa"/>
            <w:noWrap/>
            <w:vAlign w:val="center"/>
            <w:hideMark/>
          </w:tcPr>
          <w:p w14:paraId="1A5EB182"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713,1</w:t>
            </w:r>
          </w:p>
        </w:tc>
        <w:tc>
          <w:tcPr>
            <w:tcW w:w="1615" w:type="dxa"/>
            <w:noWrap/>
            <w:vAlign w:val="center"/>
            <w:hideMark/>
          </w:tcPr>
          <w:p w14:paraId="3DCC89E7"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7.608,8</w:t>
            </w:r>
          </w:p>
        </w:tc>
        <w:tc>
          <w:tcPr>
            <w:tcW w:w="1279" w:type="dxa"/>
            <w:noWrap/>
            <w:vAlign w:val="center"/>
            <w:hideMark/>
          </w:tcPr>
          <w:p w14:paraId="6AD3318E" w14:textId="77777777" w:rsidR="00F51A6C" w:rsidRPr="00B57D75" w:rsidRDefault="00F51A6C" w:rsidP="00F51A6C">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83,2%</w:t>
            </w:r>
          </w:p>
        </w:tc>
      </w:tr>
    </w:tbl>
    <w:p w14:paraId="20F184FC" w14:textId="0BBBBFE3" w:rsidR="00F51A6C" w:rsidRPr="00B57D75" w:rsidRDefault="00D5372D" w:rsidP="00D5372D">
      <w:pPr>
        <w:widowControl w:val="0"/>
        <w:spacing w:line="360" w:lineRule="auto"/>
        <w:ind w:firstLine="0"/>
        <w:jc w:val="center"/>
        <w:rPr>
          <w:rFonts w:eastAsia="Calibri" w:cs="Times New Roman"/>
          <w:sz w:val="24"/>
          <w:szCs w:val="24"/>
          <w:lang w:eastAsia="es-ES"/>
        </w:rPr>
      </w:pPr>
      <w:r w:rsidRPr="00B57D75">
        <w:rPr>
          <w:rFonts w:eastAsia="Calibri" w:cs="Times New Roman"/>
          <w:sz w:val="16"/>
          <w:szCs w:val="16"/>
          <w:lang w:eastAsia="es-ES"/>
        </w:rPr>
        <w:t xml:space="preserve">Fuente: Elaboración propia en base a datos del sitio web </w:t>
      </w:r>
      <w:hyperlink r:id="rId14" w:history="1">
        <w:r w:rsidRPr="00B57D75">
          <w:rPr>
            <w:rStyle w:val="Hipervnculo"/>
            <w:rFonts w:eastAsia="Calibri" w:cs="Times New Roman"/>
            <w:sz w:val="16"/>
            <w:szCs w:val="16"/>
            <w:lang w:eastAsia="es-ES"/>
          </w:rPr>
          <w:t>www.transporte.gob.ar</w:t>
        </w:r>
      </w:hyperlink>
      <w:r w:rsidRPr="00B57D75">
        <w:rPr>
          <w:rFonts w:eastAsia="Calibri" w:cs="Times New Roman"/>
          <w:sz w:val="16"/>
          <w:szCs w:val="16"/>
          <w:lang w:eastAsia="es-ES"/>
        </w:rPr>
        <w:t xml:space="preserve"> de la Sección Subsidios por Grupos Tarifarios</w:t>
      </w:r>
    </w:p>
    <w:p w14:paraId="1760BF93" w14:textId="732D6195" w:rsidR="009352E3" w:rsidRPr="00B57D75" w:rsidRDefault="009352E3" w:rsidP="009352E3">
      <w:pPr>
        <w:widowControl w:val="0"/>
        <w:spacing w:after="0" w:line="360" w:lineRule="auto"/>
        <w:ind w:firstLine="0"/>
        <w:jc w:val="both"/>
        <w:rPr>
          <w:rFonts w:eastAsia="Calibri" w:cs="Times New Roman"/>
          <w:sz w:val="24"/>
          <w:szCs w:val="24"/>
          <w:lang w:eastAsia="es-ES"/>
        </w:rPr>
      </w:pPr>
      <w:r w:rsidRPr="00B57D75">
        <w:rPr>
          <w:rFonts w:eastAsia="Calibri" w:cs="Times New Roman"/>
          <w:sz w:val="24"/>
          <w:szCs w:val="24"/>
          <w:lang w:eastAsia="es-ES"/>
        </w:rPr>
        <w:t xml:space="preserve">El cuadro que se expone a continuación realiza una comparación sobre como se compensó la tarifa técnica en los años 2019 y 2020. Para el año 2019, se tomó un mes típico. En cambio, para el año 2020 debido a </w:t>
      </w:r>
      <w:r w:rsidR="00D67B3F" w:rsidRPr="00B57D75">
        <w:rPr>
          <w:rFonts w:eastAsia="Calibri" w:cs="Times New Roman"/>
          <w:sz w:val="24"/>
          <w:szCs w:val="24"/>
          <w:lang w:eastAsia="es-ES"/>
        </w:rPr>
        <w:t xml:space="preserve">emergencia sanitaria en virtud de la Pandemia declarada por la Organización Mundial de la Salud (OMS) </w:t>
      </w:r>
      <w:r w:rsidRPr="00B57D75">
        <w:rPr>
          <w:rFonts w:eastAsia="Calibri" w:cs="Times New Roman"/>
          <w:sz w:val="24"/>
          <w:szCs w:val="24"/>
          <w:lang w:eastAsia="es-ES"/>
        </w:rPr>
        <w:t>debió tomarse el mes de febrero, aunque no represente un mes típico por no contar con los viajes por motivo estudiantil, como así también, por tratarse de un mes destinado a vacaciones</w:t>
      </w:r>
      <w:r w:rsidR="00D67B3F" w:rsidRPr="00B57D75">
        <w:rPr>
          <w:rFonts w:eastAsia="Calibri" w:cs="Times New Roman"/>
          <w:sz w:val="24"/>
          <w:szCs w:val="24"/>
          <w:lang w:eastAsia="es-ES"/>
        </w:rPr>
        <w:t xml:space="preserve"> (en especial durante la primera quincena)</w:t>
      </w:r>
      <w:r w:rsidRPr="00B57D75">
        <w:rPr>
          <w:rFonts w:eastAsia="Calibri" w:cs="Times New Roman"/>
          <w:sz w:val="24"/>
          <w:szCs w:val="24"/>
          <w:lang w:eastAsia="es-ES"/>
        </w:rPr>
        <w:t>.</w:t>
      </w:r>
    </w:p>
    <w:p w14:paraId="2F057888" w14:textId="68570A04" w:rsidR="00F429D1" w:rsidRPr="00B57D75" w:rsidRDefault="00F429D1" w:rsidP="009352E3">
      <w:pPr>
        <w:widowControl w:val="0"/>
        <w:spacing w:after="0" w:line="360" w:lineRule="auto"/>
        <w:ind w:firstLine="0"/>
        <w:jc w:val="both"/>
        <w:rPr>
          <w:rFonts w:eastAsia="Calibri" w:cs="Times New Roman"/>
          <w:sz w:val="24"/>
          <w:szCs w:val="24"/>
          <w:lang w:eastAsia="es-ES"/>
        </w:rPr>
      </w:pPr>
      <w:r w:rsidRPr="00B57D75">
        <w:rPr>
          <w:rFonts w:eastAsia="Calibri" w:cs="Times New Roman"/>
          <w:sz w:val="24"/>
          <w:szCs w:val="24"/>
          <w:lang w:eastAsia="es-ES"/>
        </w:rPr>
        <w:t xml:space="preserve">En líneas generales, observamos </w:t>
      </w:r>
      <w:r w:rsidR="00670687" w:rsidRPr="00B57D75">
        <w:rPr>
          <w:rFonts w:eastAsia="Calibri" w:cs="Times New Roman"/>
          <w:sz w:val="24"/>
          <w:szCs w:val="24"/>
          <w:lang w:eastAsia="es-ES"/>
        </w:rPr>
        <w:t>que los ingresos por tarifa técnica cayeron en la misma proporción</w:t>
      </w:r>
      <w:r w:rsidR="003B0A6C" w:rsidRPr="00B57D75">
        <w:rPr>
          <w:rFonts w:eastAsia="Calibri" w:cs="Times New Roman"/>
          <w:sz w:val="24"/>
          <w:szCs w:val="24"/>
          <w:lang w:eastAsia="es-ES"/>
        </w:rPr>
        <w:t xml:space="preserve"> (entre un 20% y 25%)</w:t>
      </w:r>
      <w:r w:rsidR="00670687" w:rsidRPr="00B57D75">
        <w:rPr>
          <w:rFonts w:eastAsia="Calibri" w:cs="Times New Roman"/>
          <w:sz w:val="24"/>
          <w:szCs w:val="24"/>
          <w:lang w:eastAsia="es-ES"/>
        </w:rPr>
        <w:t xml:space="preserve"> </w:t>
      </w:r>
      <w:r w:rsidR="003B0A6C" w:rsidRPr="00B57D75">
        <w:rPr>
          <w:rFonts w:eastAsia="Calibri" w:cs="Times New Roman"/>
          <w:sz w:val="24"/>
          <w:szCs w:val="24"/>
          <w:lang w:eastAsia="es-ES"/>
        </w:rPr>
        <w:t>que,</w:t>
      </w:r>
      <w:r w:rsidR="00670687" w:rsidRPr="00B57D75">
        <w:rPr>
          <w:rFonts w:eastAsia="Calibri" w:cs="Times New Roman"/>
          <w:sz w:val="24"/>
          <w:szCs w:val="24"/>
          <w:lang w:eastAsia="es-ES"/>
        </w:rPr>
        <w:t xml:space="preserve"> </w:t>
      </w:r>
      <w:r w:rsidR="0038411A" w:rsidRPr="00B57D75">
        <w:rPr>
          <w:rFonts w:eastAsia="Calibri" w:cs="Times New Roman"/>
          <w:sz w:val="24"/>
          <w:szCs w:val="24"/>
          <w:lang w:eastAsia="es-ES"/>
        </w:rPr>
        <w:t xml:space="preserve">en </w:t>
      </w:r>
      <w:r w:rsidR="00670687" w:rsidRPr="00B57D75">
        <w:rPr>
          <w:rFonts w:eastAsia="Calibri" w:cs="Times New Roman"/>
          <w:sz w:val="24"/>
          <w:szCs w:val="24"/>
          <w:lang w:eastAsia="es-ES"/>
        </w:rPr>
        <w:t xml:space="preserve">el resto de las variables, </w:t>
      </w:r>
      <w:r w:rsidR="0038411A" w:rsidRPr="00B57D75">
        <w:rPr>
          <w:rFonts w:eastAsia="Calibri" w:cs="Times New Roman"/>
          <w:sz w:val="24"/>
          <w:szCs w:val="24"/>
          <w:lang w:eastAsia="es-ES"/>
        </w:rPr>
        <w:t xml:space="preserve">hecho </w:t>
      </w:r>
      <w:r w:rsidR="00670687" w:rsidRPr="00B57D75">
        <w:rPr>
          <w:rFonts w:eastAsia="Calibri" w:cs="Times New Roman"/>
          <w:sz w:val="24"/>
          <w:szCs w:val="24"/>
          <w:lang w:eastAsia="es-ES"/>
        </w:rPr>
        <w:t xml:space="preserve">que podemos atribuir a que febrero no representa un mes típico en el año. A priori, podemos concluir que </w:t>
      </w:r>
      <w:r w:rsidR="0038411A" w:rsidRPr="00B57D75">
        <w:rPr>
          <w:rFonts w:eastAsia="Calibri" w:cs="Times New Roman"/>
          <w:sz w:val="24"/>
          <w:szCs w:val="24"/>
          <w:lang w:eastAsia="es-ES"/>
        </w:rPr>
        <w:t>la disminución no responde a una disminución de las compensaciones tarifarias a la demanda.</w:t>
      </w:r>
    </w:p>
    <w:p w14:paraId="4398C40F" w14:textId="0554E4E9" w:rsidR="0038411A" w:rsidRPr="00B57D75" w:rsidRDefault="0038411A" w:rsidP="009352E3">
      <w:pPr>
        <w:widowControl w:val="0"/>
        <w:spacing w:after="0" w:line="360" w:lineRule="auto"/>
        <w:ind w:firstLine="0"/>
        <w:jc w:val="both"/>
        <w:rPr>
          <w:rFonts w:eastAsia="Calibri" w:cs="Times New Roman"/>
          <w:sz w:val="24"/>
          <w:szCs w:val="24"/>
          <w:lang w:eastAsia="es-ES"/>
        </w:rPr>
      </w:pPr>
      <w:r w:rsidRPr="00B57D75">
        <w:rPr>
          <w:rFonts w:eastAsia="Calibri" w:cs="Times New Roman"/>
          <w:sz w:val="24"/>
          <w:szCs w:val="24"/>
          <w:lang w:eastAsia="es-ES"/>
        </w:rPr>
        <w:t>A</w:t>
      </w:r>
      <w:r w:rsidR="007D7367" w:rsidRPr="00B57D75">
        <w:rPr>
          <w:rFonts w:eastAsia="Calibri" w:cs="Times New Roman"/>
          <w:sz w:val="24"/>
          <w:szCs w:val="24"/>
          <w:lang w:eastAsia="es-ES"/>
        </w:rPr>
        <w:t xml:space="preserve"> pesar de que el mes de febrero no representa un mes típico</w:t>
      </w:r>
      <w:r w:rsidRPr="00B57D75">
        <w:rPr>
          <w:rFonts w:eastAsia="Calibri" w:cs="Times New Roman"/>
          <w:sz w:val="24"/>
          <w:szCs w:val="24"/>
          <w:lang w:eastAsia="es-ES"/>
        </w:rPr>
        <w:t xml:space="preserve">, podemos notar que el </w:t>
      </w:r>
      <w:r w:rsidR="007D7367" w:rsidRPr="00B57D75">
        <w:rPr>
          <w:rFonts w:eastAsia="Calibri" w:cs="Times New Roman"/>
          <w:sz w:val="24"/>
          <w:szCs w:val="24"/>
          <w:lang w:eastAsia="es-ES"/>
        </w:rPr>
        <w:t>porcentaje compensado de la tarifa técnica en 2020 se incrementó levemente en un 0,4%, con respecto a un mes típico de 2019.</w:t>
      </w:r>
    </w:p>
    <w:p w14:paraId="75053C1D" w14:textId="714DA900" w:rsidR="00693199" w:rsidRPr="00B57D75" w:rsidRDefault="00693199" w:rsidP="00693199">
      <w:pPr>
        <w:widowControl w:val="0"/>
        <w:spacing w:after="0" w:line="240" w:lineRule="auto"/>
        <w:ind w:firstLine="720"/>
        <w:jc w:val="center"/>
        <w:rPr>
          <w:rFonts w:eastAsia="Calibri" w:cs="Times New Roman"/>
          <w:b/>
          <w:bCs/>
          <w:sz w:val="24"/>
          <w:szCs w:val="24"/>
          <w:lang w:eastAsia="es-ES"/>
        </w:rPr>
      </w:pPr>
      <w:r w:rsidRPr="00B57D75">
        <w:rPr>
          <w:rFonts w:eastAsia="Calibri" w:cs="Times New Roman"/>
          <w:b/>
          <w:bCs/>
          <w:sz w:val="24"/>
          <w:szCs w:val="24"/>
          <w:lang w:eastAsia="es-ES"/>
        </w:rPr>
        <w:t xml:space="preserve">Cuadro </w:t>
      </w:r>
      <w:proofErr w:type="spellStart"/>
      <w:r w:rsidRPr="00B57D75">
        <w:rPr>
          <w:rFonts w:eastAsia="Calibri" w:cs="Times New Roman"/>
          <w:b/>
          <w:bCs/>
          <w:sz w:val="24"/>
          <w:szCs w:val="24"/>
          <w:lang w:eastAsia="es-ES"/>
        </w:rPr>
        <w:t>Nº</w:t>
      </w:r>
      <w:proofErr w:type="spellEnd"/>
      <w:r w:rsidRPr="00B57D75">
        <w:rPr>
          <w:rFonts w:eastAsia="Calibri" w:cs="Times New Roman"/>
          <w:b/>
          <w:bCs/>
          <w:sz w:val="24"/>
          <w:szCs w:val="24"/>
          <w:lang w:eastAsia="es-ES"/>
        </w:rPr>
        <w:t xml:space="preserve"> </w:t>
      </w:r>
      <w:proofErr w:type="spellStart"/>
      <w:r w:rsidRPr="00B57D75">
        <w:rPr>
          <w:rFonts w:eastAsia="Calibri" w:cs="Times New Roman"/>
          <w:b/>
          <w:bCs/>
          <w:sz w:val="24"/>
          <w:szCs w:val="24"/>
          <w:lang w:eastAsia="es-ES"/>
        </w:rPr>
        <w:t>xx</w:t>
      </w:r>
      <w:proofErr w:type="spellEnd"/>
      <w:r w:rsidRPr="00B57D75">
        <w:rPr>
          <w:rFonts w:eastAsia="Calibri" w:cs="Times New Roman"/>
          <w:b/>
          <w:bCs/>
          <w:sz w:val="24"/>
          <w:szCs w:val="24"/>
          <w:lang w:eastAsia="es-ES"/>
        </w:rPr>
        <w:t xml:space="preserve"> – Esquema sobre cómo se compensa la Tarifa Técnica según Grupo Tarifario para los años 2019 y 2020</w:t>
      </w:r>
      <w:r w:rsidR="00092328" w:rsidRPr="00B57D75">
        <w:rPr>
          <w:rFonts w:eastAsia="Calibri" w:cs="Times New Roman"/>
          <w:b/>
          <w:bCs/>
          <w:sz w:val="24"/>
          <w:szCs w:val="24"/>
          <w:lang w:eastAsia="es-ES"/>
        </w:rPr>
        <w:t xml:space="preserve"> (en millones de pesos)</w:t>
      </w:r>
    </w:p>
    <w:tbl>
      <w:tblPr>
        <w:tblStyle w:val="Tablaconcuadrcula4-nfasis3"/>
        <w:tblW w:w="9519" w:type="dxa"/>
        <w:tblInd w:w="-572" w:type="dxa"/>
        <w:tblLook w:val="04A0" w:firstRow="1" w:lastRow="0" w:firstColumn="1" w:lastColumn="0" w:noHBand="0" w:noVBand="1"/>
      </w:tblPr>
      <w:tblGrid>
        <w:gridCol w:w="1959"/>
        <w:gridCol w:w="824"/>
        <w:gridCol w:w="824"/>
        <w:gridCol w:w="718"/>
        <w:gridCol w:w="925"/>
        <w:gridCol w:w="824"/>
        <w:gridCol w:w="824"/>
        <w:gridCol w:w="718"/>
        <w:gridCol w:w="824"/>
        <w:gridCol w:w="1079"/>
      </w:tblGrid>
      <w:tr w:rsidR="00DE3D27" w:rsidRPr="00B57D75" w14:paraId="176E3E0D" w14:textId="195DB47D" w:rsidTr="00DE3D2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959" w:type="dxa"/>
            <w:vMerge w:val="restart"/>
            <w:tcBorders>
              <w:right w:val="single" w:sz="4" w:space="0" w:color="A5A5A5" w:themeColor="accent3"/>
            </w:tcBorders>
            <w:shd w:val="clear" w:color="auto" w:fill="D9D9D9" w:themeFill="background1" w:themeFillShade="D9"/>
            <w:noWrap/>
            <w:vAlign w:val="center"/>
            <w:hideMark/>
          </w:tcPr>
          <w:p w14:paraId="16166B55" w14:textId="3DB06BB5" w:rsidR="00DE3D27" w:rsidRPr="00B57D75" w:rsidRDefault="00DE3D27" w:rsidP="0059706E">
            <w:pPr>
              <w:spacing w:after="0" w:line="240" w:lineRule="auto"/>
              <w:ind w:firstLine="0"/>
              <w:jc w:val="center"/>
              <w:rPr>
                <w:rFonts w:ascii="Times New Roman" w:eastAsia="Times New Roman" w:hAnsi="Times New Roman" w:cs="Times New Roman"/>
                <w:sz w:val="20"/>
                <w:szCs w:val="20"/>
                <w:lang w:val="en-GB" w:eastAsia="en-GB"/>
              </w:rPr>
            </w:pPr>
            <w:r w:rsidRPr="00B57D75">
              <w:rPr>
                <w:rFonts w:ascii="Calibri" w:eastAsia="Times New Roman" w:hAnsi="Calibri" w:cs="Calibri"/>
                <w:color w:val="000000"/>
                <w:sz w:val="20"/>
                <w:szCs w:val="20"/>
                <w:lang w:val="en-GB" w:eastAsia="en-GB"/>
              </w:rPr>
              <w:lastRenderedPageBreak/>
              <w:t>CONCEPTO</w:t>
            </w:r>
          </w:p>
        </w:tc>
        <w:tc>
          <w:tcPr>
            <w:tcW w:w="3291" w:type="dxa"/>
            <w:gridSpan w:val="4"/>
            <w:tcBorders>
              <w:left w:val="single" w:sz="4" w:space="0" w:color="A5A5A5" w:themeColor="accent3"/>
              <w:right w:val="single" w:sz="4" w:space="0" w:color="A5A5A5" w:themeColor="accent3"/>
            </w:tcBorders>
            <w:shd w:val="clear" w:color="auto" w:fill="D9D9D9" w:themeFill="background1" w:themeFillShade="D9"/>
            <w:noWrap/>
            <w:vAlign w:val="center"/>
            <w:hideMark/>
          </w:tcPr>
          <w:p w14:paraId="1BBAF9D2" w14:textId="1E25EECF" w:rsidR="00DE3D27" w:rsidRPr="00B57D75" w:rsidRDefault="00DE3D27" w:rsidP="0059706E">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B57D75">
              <w:rPr>
                <w:rFonts w:ascii="Calibri" w:eastAsia="Times New Roman" w:hAnsi="Calibri" w:cs="Calibri"/>
                <w:color w:val="000000"/>
                <w:sz w:val="20"/>
                <w:szCs w:val="20"/>
                <w:lang w:val="en-GB" w:eastAsia="en-GB"/>
              </w:rPr>
              <w:t>2019*</w:t>
            </w:r>
          </w:p>
        </w:tc>
        <w:tc>
          <w:tcPr>
            <w:tcW w:w="3190" w:type="dxa"/>
            <w:gridSpan w:val="4"/>
            <w:tcBorders>
              <w:left w:val="single" w:sz="4" w:space="0" w:color="A5A5A5" w:themeColor="accent3"/>
            </w:tcBorders>
            <w:shd w:val="clear" w:color="auto" w:fill="D9D9D9" w:themeFill="background1" w:themeFillShade="D9"/>
            <w:noWrap/>
            <w:vAlign w:val="center"/>
            <w:hideMark/>
          </w:tcPr>
          <w:p w14:paraId="71D1C48D" w14:textId="35C2556D" w:rsidR="00DE3D27" w:rsidRPr="00B57D75" w:rsidRDefault="00DE3D27" w:rsidP="0059706E">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B57D75">
              <w:rPr>
                <w:rFonts w:ascii="Calibri" w:eastAsia="Times New Roman" w:hAnsi="Calibri" w:cs="Calibri"/>
                <w:color w:val="000000"/>
                <w:sz w:val="20"/>
                <w:szCs w:val="20"/>
                <w:lang w:val="en-GB" w:eastAsia="en-GB"/>
              </w:rPr>
              <w:t>2020**</w:t>
            </w:r>
          </w:p>
        </w:tc>
        <w:tc>
          <w:tcPr>
            <w:tcW w:w="1079" w:type="dxa"/>
            <w:vMerge w:val="restart"/>
            <w:tcBorders>
              <w:left w:val="single" w:sz="4" w:space="0" w:color="A5A5A5" w:themeColor="accent3"/>
            </w:tcBorders>
            <w:shd w:val="clear" w:color="auto" w:fill="D9D9D9" w:themeFill="background1" w:themeFillShade="D9"/>
            <w:vAlign w:val="center"/>
          </w:tcPr>
          <w:p w14:paraId="3AE1F01C" w14:textId="05BECB5C" w:rsidR="00DE3D27" w:rsidRPr="00B57D75" w:rsidRDefault="00DE3D27" w:rsidP="00DE3D27">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proofErr w:type="spellStart"/>
            <w:r w:rsidRPr="00B57D75">
              <w:rPr>
                <w:rFonts w:ascii="Calibri" w:eastAsia="Times New Roman" w:hAnsi="Calibri" w:cs="Calibri"/>
                <w:color w:val="000000"/>
                <w:sz w:val="20"/>
                <w:szCs w:val="20"/>
                <w:lang w:val="en-GB" w:eastAsia="en-GB"/>
              </w:rPr>
              <w:t>Variación</w:t>
            </w:r>
            <w:proofErr w:type="spellEnd"/>
            <w:r w:rsidRPr="00B57D75">
              <w:rPr>
                <w:rFonts w:ascii="Calibri" w:eastAsia="Times New Roman" w:hAnsi="Calibri" w:cs="Calibri"/>
                <w:color w:val="000000"/>
                <w:sz w:val="20"/>
                <w:szCs w:val="20"/>
                <w:lang w:val="en-GB" w:eastAsia="en-GB"/>
              </w:rPr>
              <w:t xml:space="preserve"> </w:t>
            </w:r>
            <w:proofErr w:type="spellStart"/>
            <w:r w:rsidRPr="00B57D75">
              <w:rPr>
                <w:rFonts w:ascii="Calibri" w:eastAsia="Times New Roman" w:hAnsi="Calibri" w:cs="Calibri"/>
                <w:color w:val="000000"/>
                <w:sz w:val="20"/>
                <w:szCs w:val="20"/>
                <w:lang w:val="en-GB" w:eastAsia="en-GB"/>
              </w:rPr>
              <w:t>Interanual</w:t>
            </w:r>
            <w:proofErr w:type="spellEnd"/>
          </w:p>
        </w:tc>
      </w:tr>
      <w:tr w:rsidR="00DE3D27" w:rsidRPr="00B57D75" w14:paraId="627E9E2A" w14:textId="08C52DB4" w:rsidTr="00DE3D27">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59" w:type="dxa"/>
            <w:vMerge/>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7B4F30B1" w14:textId="2000119D" w:rsidR="00DE3D27" w:rsidRPr="00B57D75" w:rsidRDefault="00DE3D27" w:rsidP="0059706E">
            <w:pPr>
              <w:spacing w:after="0" w:line="240" w:lineRule="auto"/>
              <w:ind w:firstLine="0"/>
              <w:jc w:val="center"/>
              <w:rPr>
                <w:rFonts w:ascii="Calibri" w:eastAsia="Times New Roman" w:hAnsi="Calibri" w:cs="Calibri"/>
                <w:color w:val="000000"/>
                <w:sz w:val="20"/>
                <w:szCs w:val="20"/>
                <w:lang w:val="en-GB" w:eastAsia="en-GB"/>
              </w:rPr>
            </w:pPr>
          </w:p>
        </w:tc>
        <w:tc>
          <w:tcPr>
            <w:tcW w:w="8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280BEA71"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D.F</w:t>
            </w:r>
          </w:p>
        </w:tc>
        <w:tc>
          <w:tcPr>
            <w:tcW w:w="8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6C2DB981"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S.</w:t>
            </w:r>
            <w:proofErr w:type="gramStart"/>
            <w:r w:rsidRPr="00B57D75">
              <w:rPr>
                <w:rFonts w:ascii="Calibri" w:eastAsia="Times New Roman" w:hAnsi="Calibri" w:cs="Calibri"/>
                <w:b/>
                <w:bCs/>
                <w:color w:val="000000"/>
                <w:sz w:val="20"/>
                <w:szCs w:val="20"/>
                <w:lang w:val="en-GB" w:eastAsia="en-GB"/>
              </w:rPr>
              <w:t>G.I</w:t>
            </w:r>
            <w:proofErr w:type="gramEnd"/>
          </w:p>
        </w:tc>
        <w:tc>
          <w:tcPr>
            <w:tcW w:w="7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31327C81"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S.</w:t>
            </w:r>
            <w:proofErr w:type="gramStart"/>
            <w:r w:rsidRPr="00B57D75">
              <w:rPr>
                <w:rFonts w:ascii="Calibri" w:eastAsia="Times New Roman" w:hAnsi="Calibri" w:cs="Calibri"/>
                <w:b/>
                <w:bCs/>
                <w:color w:val="000000"/>
                <w:sz w:val="20"/>
                <w:szCs w:val="20"/>
                <w:lang w:val="en-GB" w:eastAsia="en-GB"/>
              </w:rPr>
              <w:t>G.II</w:t>
            </w:r>
            <w:proofErr w:type="gramEnd"/>
          </w:p>
        </w:tc>
        <w:tc>
          <w:tcPr>
            <w:tcW w:w="92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78DF3767"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Total RMBA 2019</w:t>
            </w:r>
          </w:p>
        </w:tc>
        <w:tc>
          <w:tcPr>
            <w:tcW w:w="8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265D62C1"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D.F</w:t>
            </w:r>
          </w:p>
        </w:tc>
        <w:tc>
          <w:tcPr>
            <w:tcW w:w="8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67A25529"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S.</w:t>
            </w:r>
            <w:proofErr w:type="gramStart"/>
            <w:r w:rsidRPr="00B57D75">
              <w:rPr>
                <w:rFonts w:ascii="Calibri" w:eastAsia="Times New Roman" w:hAnsi="Calibri" w:cs="Calibri"/>
                <w:b/>
                <w:bCs/>
                <w:color w:val="000000"/>
                <w:sz w:val="20"/>
                <w:szCs w:val="20"/>
                <w:lang w:val="en-GB" w:eastAsia="en-GB"/>
              </w:rPr>
              <w:t>G.I</w:t>
            </w:r>
            <w:proofErr w:type="gramEnd"/>
          </w:p>
        </w:tc>
        <w:tc>
          <w:tcPr>
            <w:tcW w:w="7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59A9F7EF"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S.</w:t>
            </w:r>
            <w:proofErr w:type="gramStart"/>
            <w:r w:rsidRPr="00B57D75">
              <w:rPr>
                <w:rFonts w:ascii="Calibri" w:eastAsia="Times New Roman" w:hAnsi="Calibri" w:cs="Calibri"/>
                <w:b/>
                <w:bCs/>
                <w:color w:val="000000"/>
                <w:sz w:val="20"/>
                <w:szCs w:val="20"/>
                <w:lang w:val="en-GB" w:eastAsia="en-GB"/>
              </w:rPr>
              <w:t>G.II</w:t>
            </w:r>
            <w:proofErr w:type="gramEnd"/>
          </w:p>
        </w:tc>
        <w:tc>
          <w:tcPr>
            <w:tcW w:w="8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9D9D9" w:themeFill="background1" w:themeFillShade="D9"/>
            <w:vAlign w:val="center"/>
            <w:hideMark/>
          </w:tcPr>
          <w:p w14:paraId="68997732"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Total RMBA 2020</w:t>
            </w:r>
          </w:p>
        </w:tc>
        <w:tc>
          <w:tcPr>
            <w:tcW w:w="1079" w:type="dxa"/>
            <w:vMerge/>
            <w:tcBorders>
              <w:left w:val="single" w:sz="4" w:space="0" w:color="A5A5A5" w:themeColor="accent3"/>
              <w:bottom w:val="single" w:sz="4" w:space="0" w:color="A5A5A5" w:themeColor="accent3"/>
            </w:tcBorders>
            <w:shd w:val="clear" w:color="auto" w:fill="D9D9D9" w:themeFill="background1" w:themeFillShade="D9"/>
          </w:tcPr>
          <w:p w14:paraId="0F770977" w14:textId="77777777" w:rsidR="00DE3D27" w:rsidRPr="00B57D75" w:rsidRDefault="00DE3D27" w:rsidP="0059706E">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n-GB" w:eastAsia="en-GB"/>
              </w:rPr>
            </w:pPr>
          </w:p>
        </w:tc>
      </w:tr>
      <w:tr w:rsidR="00DE3D27" w:rsidRPr="00B57D75" w14:paraId="33A71751" w14:textId="64B2E11C" w:rsidTr="00DE3D27">
        <w:trPr>
          <w:trHeight w:val="595"/>
        </w:trPr>
        <w:tc>
          <w:tcPr>
            <w:cnfStyle w:val="001000000000" w:firstRow="0" w:lastRow="0" w:firstColumn="1" w:lastColumn="0" w:oddVBand="0" w:evenVBand="0" w:oddHBand="0" w:evenHBand="0" w:firstRowFirstColumn="0" w:firstRowLastColumn="0" w:lastRowFirstColumn="0" w:lastRowLastColumn="0"/>
            <w:tcW w:w="1959" w:type="dxa"/>
            <w:tcBorders>
              <w:top w:val="single" w:sz="4" w:space="0" w:color="A5A5A5" w:themeColor="accent3"/>
            </w:tcBorders>
            <w:vAlign w:val="center"/>
            <w:hideMark/>
          </w:tcPr>
          <w:p w14:paraId="2E86ABC4" w14:textId="6CB54CF9" w:rsidR="00DE3D27" w:rsidRPr="00B57D75" w:rsidRDefault="00DE3D27" w:rsidP="00DE3D27">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Ingresos por Tarifa Técnica</w:t>
            </w:r>
          </w:p>
        </w:tc>
        <w:tc>
          <w:tcPr>
            <w:tcW w:w="824" w:type="dxa"/>
            <w:tcBorders>
              <w:top w:val="single" w:sz="4" w:space="0" w:color="A5A5A5" w:themeColor="accent3"/>
            </w:tcBorders>
            <w:noWrap/>
            <w:vAlign w:val="center"/>
            <w:hideMark/>
          </w:tcPr>
          <w:p w14:paraId="7F78575D"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1.905,4</w:t>
            </w:r>
          </w:p>
        </w:tc>
        <w:tc>
          <w:tcPr>
            <w:tcW w:w="824" w:type="dxa"/>
            <w:tcBorders>
              <w:top w:val="single" w:sz="4" w:space="0" w:color="A5A5A5" w:themeColor="accent3"/>
            </w:tcBorders>
            <w:noWrap/>
            <w:vAlign w:val="center"/>
            <w:hideMark/>
          </w:tcPr>
          <w:p w14:paraId="46BC90D5"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7.767,3</w:t>
            </w:r>
          </w:p>
        </w:tc>
        <w:tc>
          <w:tcPr>
            <w:tcW w:w="718" w:type="dxa"/>
            <w:tcBorders>
              <w:top w:val="single" w:sz="4" w:space="0" w:color="A5A5A5" w:themeColor="accent3"/>
            </w:tcBorders>
            <w:noWrap/>
            <w:vAlign w:val="center"/>
            <w:hideMark/>
          </w:tcPr>
          <w:p w14:paraId="4B0D1392"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332,1</w:t>
            </w:r>
          </w:p>
        </w:tc>
        <w:tc>
          <w:tcPr>
            <w:tcW w:w="925" w:type="dxa"/>
            <w:tcBorders>
              <w:top w:val="single" w:sz="4" w:space="0" w:color="A5A5A5" w:themeColor="accent3"/>
            </w:tcBorders>
            <w:noWrap/>
            <w:vAlign w:val="center"/>
            <w:hideMark/>
          </w:tcPr>
          <w:p w14:paraId="4FB499DC"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10.004,8</w:t>
            </w:r>
          </w:p>
        </w:tc>
        <w:tc>
          <w:tcPr>
            <w:tcW w:w="824" w:type="dxa"/>
            <w:tcBorders>
              <w:top w:val="single" w:sz="4" w:space="0" w:color="A5A5A5" w:themeColor="accent3"/>
            </w:tcBorders>
            <w:noWrap/>
            <w:vAlign w:val="center"/>
            <w:hideMark/>
          </w:tcPr>
          <w:p w14:paraId="5E7F743F"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1.554,7</w:t>
            </w:r>
          </w:p>
        </w:tc>
        <w:tc>
          <w:tcPr>
            <w:tcW w:w="824" w:type="dxa"/>
            <w:tcBorders>
              <w:top w:val="single" w:sz="4" w:space="0" w:color="A5A5A5" w:themeColor="accent3"/>
            </w:tcBorders>
            <w:noWrap/>
            <w:vAlign w:val="center"/>
            <w:hideMark/>
          </w:tcPr>
          <w:p w14:paraId="5A9B813B"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6.126,8</w:t>
            </w:r>
          </w:p>
        </w:tc>
        <w:tc>
          <w:tcPr>
            <w:tcW w:w="718" w:type="dxa"/>
            <w:tcBorders>
              <w:top w:val="single" w:sz="4" w:space="0" w:color="A5A5A5" w:themeColor="accent3"/>
            </w:tcBorders>
            <w:noWrap/>
            <w:vAlign w:val="center"/>
            <w:hideMark/>
          </w:tcPr>
          <w:p w14:paraId="1AB9A74D"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193,6</w:t>
            </w:r>
          </w:p>
        </w:tc>
        <w:tc>
          <w:tcPr>
            <w:tcW w:w="824" w:type="dxa"/>
            <w:tcBorders>
              <w:top w:val="single" w:sz="4" w:space="0" w:color="A5A5A5" w:themeColor="accent3"/>
              <w:right w:val="single" w:sz="4" w:space="0" w:color="A5A5A5" w:themeColor="accent3"/>
            </w:tcBorders>
            <w:noWrap/>
            <w:vAlign w:val="center"/>
            <w:hideMark/>
          </w:tcPr>
          <w:p w14:paraId="5F53F9E8"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7.875,1</w:t>
            </w:r>
          </w:p>
        </w:tc>
        <w:tc>
          <w:tcPr>
            <w:tcW w:w="107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3D72E8EE" w14:textId="0139E2D9"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hAnsi="Calibri" w:cs="Calibri"/>
                <w:color w:val="000000"/>
                <w:sz w:val="20"/>
                <w:szCs w:val="20"/>
              </w:rPr>
              <w:t>-21,3%</w:t>
            </w:r>
          </w:p>
        </w:tc>
      </w:tr>
      <w:tr w:rsidR="00DE3D27" w:rsidRPr="00B57D75" w14:paraId="7F28E757" w14:textId="7C5ED2AA" w:rsidTr="003B0A6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59" w:type="dxa"/>
            <w:vAlign w:val="center"/>
          </w:tcPr>
          <w:p w14:paraId="5801176B" w14:textId="12C0138B" w:rsidR="00DE3D27" w:rsidRPr="00B57D75" w:rsidRDefault="00DE3D27" w:rsidP="00DE3D27">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Ingresos directos por Tarifa que reciben las empresas</w:t>
            </w:r>
          </w:p>
        </w:tc>
        <w:tc>
          <w:tcPr>
            <w:tcW w:w="824" w:type="dxa"/>
            <w:noWrap/>
            <w:vAlign w:val="center"/>
          </w:tcPr>
          <w:p w14:paraId="3CEC3BB0" w14:textId="6DBA67ED"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321,6</w:t>
            </w:r>
          </w:p>
        </w:tc>
        <w:tc>
          <w:tcPr>
            <w:tcW w:w="824" w:type="dxa"/>
            <w:noWrap/>
            <w:vAlign w:val="center"/>
          </w:tcPr>
          <w:p w14:paraId="4DBAA448" w14:textId="2331E44A"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1.217,8</w:t>
            </w:r>
          </w:p>
        </w:tc>
        <w:tc>
          <w:tcPr>
            <w:tcW w:w="718" w:type="dxa"/>
            <w:noWrap/>
            <w:vAlign w:val="center"/>
          </w:tcPr>
          <w:p w14:paraId="0C3D33BA" w14:textId="4C0FA1A8"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143,4</w:t>
            </w:r>
          </w:p>
        </w:tc>
        <w:tc>
          <w:tcPr>
            <w:tcW w:w="925" w:type="dxa"/>
            <w:noWrap/>
            <w:vAlign w:val="center"/>
          </w:tcPr>
          <w:p w14:paraId="22F62AAF" w14:textId="0EB97B68"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1.682,8</w:t>
            </w:r>
          </w:p>
        </w:tc>
        <w:tc>
          <w:tcPr>
            <w:tcW w:w="824" w:type="dxa"/>
            <w:noWrap/>
            <w:vAlign w:val="center"/>
          </w:tcPr>
          <w:p w14:paraId="58D03352" w14:textId="7CC0024B"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262,7</w:t>
            </w:r>
          </w:p>
        </w:tc>
        <w:tc>
          <w:tcPr>
            <w:tcW w:w="824" w:type="dxa"/>
            <w:noWrap/>
            <w:vAlign w:val="center"/>
          </w:tcPr>
          <w:p w14:paraId="464DB006" w14:textId="6D24FC51"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955,1</w:t>
            </w:r>
          </w:p>
        </w:tc>
        <w:tc>
          <w:tcPr>
            <w:tcW w:w="718" w:type="dxa"/>
            <w:noWrap/>
            <w:vAlign w:val="center"/>
          </w:tcPr>
          <w:p w14:paraId="2D66AADA" w14:textId="3EF0A00B"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83,4</w:t>
            </w:r>
          </w:p>
        </w:tc>
        <w:tc>
          <w:tcPr>
            <w:tcW w:w="824" w:type="dxa"/>
            <w:tcBorders>
              <w:right w:val="single" w:sz="4" w:space="0" w:color="A5A5A5" w:themeColor="accent3"/>
            </w:tcBorders>
            <w:noWrap/>
            <w:vAlign w:val="center"/>
          </w:tcPr>
          <w:p w14:paraId="56B52A69" w14:textId="3038A023"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1.301,2</w:t>
            </w:r>
          </w:p>
        </w:tc>
        <w:tc>
          <w:tcPr>
            <w:tcW w:w="107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7E6E6" w:themeFill="background2"/>
            <w:vAlign w:val="center"/>
          </w:tcPr>
          <w:p w14:paraId="5CC4CCA6" w14:textId="3E8050EF"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hAnsi="Calibri" w:cs="Calibri"/>
                <w:color w:val="000000"/>
                <w:sz w:val="20"/>
                <w:szCs w:val="20"/>
              </w:rPr>
              <w:t>-22,7%</w:t>
            </w:r>
          </w:p>
        </w:tc>
      </w:tr>
      <w:tr w:rsidR="00DE3D27" w:rsidRPr="00B57D75" w14:paraId="39F407E5" w14:textId="04EBF71E" w:rsidTr="00DE3D27">
        <w:trPr>
          <w:trHeight w:val="595"/>
        </w:trPr>
        <w:tc>
          <w:tcPr>
            <w:cnfStyle w:val="001000000000" w:firstRow="0" w:lastRow="0" w:firstColumn="1" w:lastColumn="0" w:oddVBand="0" w:evenVBand="0" w:oddHBand="0" w:evenHBand="0" w:firstRowFirstColumn="0" w:firstRowLastColumn="0" w:lastRowFirstColumn="0" w:lastRowLastColumn="0"/>
            <w:tcW w:w="1959" w:type="dxa"/>
            <w:vAlign w:val="center"/>
            <w:hideMark/>
          </w:tcPr>
          <w:p w14:paraId="2C3656B1" w14:textId="52381A4C" w:rsidR="00DE3D27" w:rsidRPr="00B57D75" w:rsidRDefault="00DE3D27" w:rsidP="00DE3D27">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Compensaciones por el Sistema de Boleto Integrado</w:t>
            </w:r>
          </w:p>
        </w:tc>
        <w:tc>
          <w:tcPr>
            <w:tcW w:w="824" w:type="dxa"/>
            <w:noWrap/>
            <w:vAlign w:val="center"/>
            <w:hideMark/>
          </w:tcPr>
          <w:p w14:paraId="3BA89D17"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120,9</w:t>
            </w:r>
          </w:p>
        </w:tc>
        <w:tc>
          <w:tcPr>
            <w:tcW w:w="824" w:type="dxa"/>
            <w:noWrap/>
            <w:vAlign w:val="center"/>
            <w:hideMark/>
          </w:tcPr>
          <w:p w14:paraId="4E9F5E8F"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521,7</w:t>
            </w:r>
          </w:p>
        </w:tc>
        <w:tc>
          <w:tcPr>
            <w:tcW w:w="718" w:type="dxa"/>
            <w:noWrap/>
            <w:vAlign w:val="center"/>
            <w:hideMark/>
          </w:tcPr>
          <w:p w14:paraId="52FB80AB"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70,5</w:t>
            </w:r>
          </w:p>
        </w:tc>
        <w:tc>
          <w:tcPr>
            <w:tcW w:w="925" w:type="dxa"/>
            <w:noWrap/>
            <w:vAlign w:val="center"/>
            <w:hideMark/>
          </w:tcPr>
          <w:p w14:paraId="15840F78"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713,1</w:t>
            </w:r>
          </w:p>
        </w:tc>
        <w:tc>
          <w:tcPr>
            <w:tcW w:w="824" w:type="dxa"/>
            <w:noWrap/>
            <w:vAlign w:val="center"/>
            <w:hideMark/>
          </w:tcPr>
          <w:p w14:paraId="06521EED"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98,3</w:t>
            </w:r>
          </w:p>
        </w:tc>
        <w:tc>
          <w:tcPr>
            <w:tcW w:w="824" w:type="dxa"/>
            <w:noWrap/>
            <w:vAlign w:val="center"/>
            <w:hideMark/>
          </w:tcPr>
          <w:p w14:paraId="177923A5"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402,6</w:t>
            </w:r>
          </w:p>
        </w:tc>
        <w:tc>
          <w:tcPr>
            <w:tcW w:w="718" w:type="dxa"/>
            <w:noWrap/>
            <w:vAlign w:val="center"/>
            <w:hideMark/>
          </w:tcPr>
          <w:p w14:paraId="1D59379A"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44,9</w:t>
            </w:r>
          </w:p>
        </w:tc>
        <w:tc>
          <w:tcPr>
            <w:tcW w:w="824" w:type="dxa"/>
            <w:tcBorders>
              <w:right w:val="single" w:sz="4" w:space="0" w:color="A5A5A5" w:themeColor="accent3"/>
            </w:tcBorders>
            <w:noWrap/>
            <w:vAlign w:val="center"/>
            <w:hideMark/>
          </w:tcPr>
          <w:p w14:paraId="02B6CD71"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545,8</w:t>
            </w:r>
          </w:p>
        </w:tc>
        <w:tc>
          <w:tcPr>
            <w:tcW w:w="107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6B73E235" w14:textId="022BB369"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hAnsi="Calibri" w:cs="Calibri"/>
                <w:color w:val="000000"/>
                <w:sz w:val="20"/>
                <w:szCs w:val="20"/>
              </w:rPr>
              <w:t>-23,5%</w:t>
            </w:r>
          </w:p>
        </w:tc>
      </w:tr>
      <w:tr w:rsidR="00DE3D27" w:rsidRPr="00B57D75" w14:paraId="43B25D8D" w14:textId="57BA00D1" w:rsidTr="003B0A6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959" w:type="dxa"/>
            <w:vAlign w:val="center"/>
            <w:hideMark/>
          </w:tcPr>
          <w:p w14:paraId="682D2298" w14:textId="28080B79" w:rsidR="00DE3D27" w:rsidRPr="00B57D75" w:rsidRDefault="00DE3D27" w:rsidP="00DE3D27">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Compensaciones Tarifarias a la Demanda</w:t>
            </w:r>
          </w:p>
        </w:tc>
        <w:tc>
          <w:tcPr>
            <w:tcW w:w="824" w:type="dxa"/>
            <w:noWrap/>
            <w:vAlign w:val="center"/>
            <w:hideMark/>
          </w:tcPr>
          <w:p w14:paraId="26950C98"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1.462,8</w:t>
            </w:r>
          </w:p>
        </w:tc>
        <w:tc>
          <w:tcPr>
            <w:tcW w:w="824" w:type="dxa"/>
            <w:noWrap/>
            <w:vAlign w:val="center"/>
            <w:hideMark/>
          </w:tcPr>
          <w:p w14:paraId="3F10E1DC"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6.027,8</w:t>
            </w:r>
          </w:p>
        </w:tc>
        <w:tc>
          <w:tcPr>
            <w:tcW w:w="718" w:type="dxa"/>
            <w:noWrap/>
            <w:vAlign w:val="center"/>
            <w:hideMark/>
          </w:tcPr>
          <w:p w14:paraId="05B58912"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118,2</w:t>
            </w:r>
          </w:p>
        </w:tc>
        <w:tc>
          <w:tcPr>
            <w:tcW w:w="925" w:type="dxa"/>
            <w:noWrap/>
            <w:vAlign w:val="center"/>
            <w:hideMark/>
          </w:tcPr>
          <w:p w14:paraId="20582A58"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7.608,8</w:t>
            </w:r>
          </w:p>
        </w:tc>
        <w:tc>
          <w:tcPr>
            <w:tcW w:w="824" w:type="dxa"/>
            <w:noWrap/>
            <w:vAlign w:val="center"/>
            <w:hideMark/>
          </w:tcPr>
          <w:p w14:paraId="715D2B49"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1.193,7</w:t>
            </w:r>
          </w:p>
        </w:tc>
        <w:tc>
          <w:tcPr>
            <w:tcW w:w="824" w:type="dxa"/>
            <w:noWrap/>
            <w:vAlign w:val="center"/>
            <w:hideMark/>
          </w:tcPr>
          <w:p w14:paraId="1E528E00"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4.769,1</w:t>
            </w:r>
          </w:p>
        </w:tc>
        <w:tc>
          <w:tcPr>
            <w:tcW w:w="718" w:type="dxa"/>
            <w:noWrap/>
            <w:vAlign w:val="center"/>
            <w:hideMark/>
          </w:tcPr>
          <w:p w14:paraId="601E60DA"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65,3</w:t>
            </w:r>
          </w:p>
        </w:tc>
        <w:tc>
          <w:tcPr>
            <w:tcW w:w="824" w:type="dxa"/>
            <w:tcBorders>
              <w:right w:val="single" w:sz="4" w:space="0" w:color="A5A5A5" w:themeColor="accent3"/>
            </w:tcBorders>
            <w:noWrap/>
            <w:vAlign w:val="center"/>
            <w:hideMark/>
          </w:tcPr>
          <w:p w14:paraId="087676A5"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6.028,1</w:t>
            </w:r>
          </w:p>
        </w:tc>
        <w:tc>
          <w:tcPr>
            <w:tcW w:w="107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7E6E6" w:themeFill="background2"/>
            <w:vAlign w:val="center"/>
          </w:tcPr>
          <w:p w14:paraId="15BE2B9E" w14:textId="68ED5844"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hAnsi="Calibri" w:cs="Calibri"/>
                <w:color w:val="000000"/>
                <w:sz w:val="20"/>
                <w:szCs w:val="20"/>
              </w:rPr>
              <w:t>-20,8%</w:t>
            </w:r>
          </w:p>
        </w:tc>
      </w:tr>
      <w:tr w:rsidR="00DE3D27" w:rsidRPr="00B57D75" w14:paraId="0DF9C1FF" w14:textId="3B9C1022" w:rsidTr="00DE3D27">
        <w:trPr>
          <w:trHeight w:val="648"/>
        </w:trPr>
        <w:tc>
          <w:tcPr>
            <w:cnfStyle w:val="001000000000" w:firstRow="0" w:lastRow="0" w:firstColumn="1" w:lastColumn="0" w:oddVBand="0" w:evenVBand="0" w:oddHBand="0" w:evenHBand="0" w:firstRowFirstColumn="0" w:firstRowLastColumn="0" w:lastRowFirstColumn="0" w:lastRowLastColumn="0"/>
            <w:tcW w:w="1959" w:type="dxa"/>
            <w:vAlign w:val="center"/>
            <w:hideMark/>
          </w:tcPr>
          <w:p w14:paraId="2CBBBA3F" w14:textId="7BFE4E74" w:rsidR="00DE3D27" w:rsidRPr="00B57D75" w:rsidRDefault="00DE3D27" w:rsidP="00DE3D27">
            <w:pPr>
              <w:spacing w:after="0" w:line="240" w:lineRule="auto"/>
              <w:ind w:firstLine="0"/>
              <w:rPr>
                <w:rFonts w:ascii="Calibri" w:eastAsia="Times New Roman" w:hAnsi="Calibri" w:cs="Calibri"/>
                <w:color w:val="000000"/>
                <w:sz w:val="20"/>
                <w:szCs w:val="20"/>
                <w:lang w:val="es-ES" w:eastAsia="en-GB"/>
              </w:rPr>
            </w:pPr>
            <w:r w:rsidRPr="00B57D75">
              <w:rPr>
                <w:rFonts w:ascii="Calibri" w:eastAsia="Times New Roman" w:hAnsi="Calibri" w:cs="Calibri"/>
                <w:color w:val="000000"/>
                <w:sz w:val="20"/>
                <w:szCs w:val="20"/>
                <w:lang w:val="es-ES" w:eastAsia="en-GB"/>
              </w:rPr>
              <w:t>Porcentaje de la tarifa técnica subsidiado</w:t>
            </w:r>
          </w:p>
        </w:tc>
        <w:tc>
          <w:tcPr>
            <w:tcW w:w="824" w:type="dxa"/>
            <w:noWrap/>
            <w:vAlign w:val="center"/>
            <w:hideMark/>
          </w:tcPr>
          <w:p w14:paraId="38E4DC6D"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83,1%</w:t>
            </w:r>
          </w:p>
        </w:tc>
        <w:tc>
          <w:tcPr>
            <w:tcW w:w="824" w:type="dxa"/>
            <w:noWrap/>
            <w:vAlign w:val="center"/>
            <w:hideMark/>
          </w:tcPr>
          <w:p w14:paraId="3EE91DC3"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84,3%</w:t>
            </w:r>
          </w:p>
        </w:tc>
        <w:tc>
          <w:tcPr>
            <w:tcW w:w="718" w:type="dxa"/>
            <w:noWrap/>
            <w:vAlign w:val="center"/>
            <w:hideMark/>
          </w:tcPr>
          <w:p w14:paraId="1027855A"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56,8%</w:t>
            </w:r>
          </w:p>
        </w:tc>
        <w:tc>
          <w:tcPr>
            <w:tcW w:w="925" w:type="dxa"/>
            <w:noWrap/>
            <w:vAlign w:val="center"/>
            <w:hideMark/>
          </w:tcPr>
          <w:p w14:paraId="57339A6C"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83,2%</w:t>
            </w:r>
          </w:p>
        </w:tc>
        <w:tc>
          <w:tcPr>
            <w:tcW w:w="824" w:type="dxa"/>
            <w:noWrap/>
            <w:vAlign w:val="center"/>
            <w:hideMark/>
          </w:tcPr>
          <w:p w14:paraId="71B7FB12"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83,1%</w:t>
            </w:r>
          </w:p>
        </w:tc>
        <w:tc>
          <w:tcPr>
            <w:tcW w:w="824" w:type="dxa"/>
            <w:noWrap/>
            <w:vAlign w:val="center"/>
            <w:hideMark/>
          </w:tcPr>
          <w:p w14:paraId="3A27D993"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84,4%</w:t>
            </w:r>
          </w:p>
        </w:tc>
        <w:tc>
          <w:tcPr>
            <w:tcW w:w="718" w:type="dxa"/>
            <w:noWrap/>
            <w:vAlign w:val="center"/>
            <w:hideMark/>
          </w:tcPr>
          <w:p w14:paraId="25D2B5F2"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56,9%</w:t>
            </w:r>
          </w:p>
        </w:tc>
        <w:tc>
          <w:tcPr>
            <w:tcW w:w="824" w:type="dxa"/>
            <w:tcBorders>
              <w:right w:val="single" w:sz="4" w:space="0" w:color="A5A5A5" w:themeColor="accent3"/>
            </w:tcBorders>
            <w:noWrap/>
            <w:vAlign w:val="center"/>
            <w:hideMark/>
          </w:tcPr>
          <w:p w14:paraId="1F9ABAB7" w14:textId="77777777"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eastAsia="Times New Roman" w:hAnsi="Calibri" w:cs="Calibri"/>
                <w:b/>
                <w:bCs/>
                <w:color w:val="000000"/>
                <w:sz w:val="20"/>
                <w:szCs w:val="20"/>
                <w:lang w:val="en-GB" w:eastAsia="en-GB"/>
              </w:rPr>
              <w:t>83,5%</w:t>
            </w:r>
          </w:p>
        </w:tc>
        <w:tc>
          <w:tcPr>
            <w:tcW w:w="107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6D23C9FB" w14:textId="746015DF" w:rsidR="00DE3D27" w:rsidRPr="00B57D75" w:rsidRDefault="00DE3D27" w:rsidP="00DE3D27">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B57D75">
              <w:rPr>
                <w:rFonts w:ascii="Calibri" w:hAnsi="Calibri" w:cs="Calibri"/>
                <w:b/>
                <w:bCs/>
                <w:color w:val="000000"/>
                <w:sz w:val="20"/>
                <w:szCs w:val="20"/>
              </w:rPr>
              <w:t>0,4%</w:t>
            </w:r>
          </w:p>
        </w:tc>
      </w:tr>
      <w:tr w:rsidR="00DE3D27" w:rsidRPr="00B57D75" w14:paraId="09EA126D" w14:textId="11089607" w:rsidTr="003B0A6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959" w:type="dxa"/>
            <w:shd w:val="clear" w:color="auto" w:fill="E7E6E6" w:themeFill="background2"/>
            <w:vAlign w:val="center"/>
            <w:hideMark/>
          </w:tcPr>
          <w:p w14:paraId="4193FA00" w14:textId="27F47241" w:rsidR="00DE3D27" w:rsidRPr="00B57D75" w:rsidRDefault="00DE3D27" w:rsidP="00DE3D27">
            <w:pPr>
              <w:spacing w:after="0" w:line="240" w:lineRule="auto"/>
              <w:ind w:firstLine="0"/>
              <w:rPr>
                <w:rFonts w:ascii="Calibri" w:eastAsia="Times New Roman" w:hAnsi="Calibri" w:cs="Calibri"/>
                <w:b w:val="0"/>
                <w:bCs w:val="0"/>
                <w:color w:val="000000"/>
                <w:sz w:val="20"/>
                <w:szCs w:val="20"/>
                <w:lang w:val="es-ES" w:eastAsia="en-GB"/>
              </w:rPr>
            </w:pPr>
            <w:r w:rsidRPr="00B57D75">
              <w:rPr>
                <w:rFonts w:ascii="Calibri" w:eastAsia="Times New Roman" w:hAnsi="Calibri" w:cs="Calibri"/>
                <w:b w:val="0"/>
                <w:bCs w:val="0"/>
                <w:color w:val="000000"/>
                <w:sz w:val="20"/>
                <w:szCs w:val="20"/>
                <w:lang w:val="es-ES" w:eastAsia="en-GB"/>
              </w:rPr>
              <w:t>Cantidad de Boletos</w:t>
            </w:r>
            <w:r w:rsidR="00092328" w:rsidRPr="00B57D75">
              <w:rPr>
                <w:rFonts w:ascii="Calibri" w:eastAsia="Times New Roman" w:hAnsi="Calibri" w:cs="Calibri"/>
                <w:b w:val="0"/>
                <w:bCs w:val="0"/>
                <w:color w:val="000000"/>
                <w:sz w:val="20"/>
                <w:szCs w:val="20"/>
                <w:lang w:val="es-ES" w:eastAsia="en-GB"/>
              </w:rPr>
              <w:t xml:space="preserve"> (en millones)</w:t>
            </w:r>
          </w:p>
        </w:tc>
        <w:tc>
          <w:tcPr>
            <w:tcW w:w="824" w:type="dxa"/>
            <w:shd w:val="clear" w:color="auto" w:fill="E7E6E6" w:themeFill="background2"/>
            <w:noWrap/>
            <w:vAlign w:val="center"/>
            <w:hideMark/>
          </w:tcPr>
          <w:p w14:paraId="64EAABD6"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22,8</w:t>
            </w:r>
          </w:p>
        </w:tc>
        <w:tc>
          <w:tcPr>
            <w:tcW w:w="824" w:type="dxa"/>
            <w:shd w:val="clear" w:color="auto" w:fill="E7E6E6" w:themeFill="background2"/>
            <w:noWrap/>
            <w:vAlign w:val="center"/>
            <w:hideMark/>
          </w:tcPr>
          <w:p w14:paraId="19CF28C8"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85,4</w:t>
            </w:r>
          </w:p>
        </w:tc>
        <w:tc>
          <w:tcPr>
            <w:tcW w:w="718" w:type="dxa"/>
            <w:shd w:val="clear" w:color="auto" w:fill="E7E6E6" w:themeFill="background2"/>
            <w:noWrap/>
            <w:vAlign w:val="center"/>
            <w:hideMark/>
          </w:tcPr>
          <w:p w14:paraId="3B5C33AF"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3,6</w:t>
            </w:r>
          </w:p>
        </w:tc>
        <w:tc>
          <w:tcPr>
            <w:tcW w:w="925" w:type="dxa"/>
            <w:shd w:val="clear" w:color="auto" w:fill="E7E6E6" w:themeFill="background2"/>
            <w:noWrap/>
            <w:vAlign w:val="center"/>
            <w:hideMark/>
          </w:tcPr>
          <w:p w14:paraId="5B378ECC"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111,9</w:t>
            </w:r>
          </w:p>
        </w:tc>
        <w:tc>
          <w:tcPr>
            <w:tcW w:w="824" w:type="dxa"/>
            <w:shd w:val="clear" w:color="auto" w:fill="E7E6E6" w:themeFill="background2"/>
            <w:noWrap/>
            <w:vAlign w:val="center"/>
            <w:hideMark/>
          </w:tcPr>
          <w:p w14:paraId="7D6E1A39"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18,2</w:t>
            </w:r>
          </w:p>
        </w:tc>
        <w:tc>
          <w:tcPr>
            <w:tcW w:w="824" w:type="dxa"/>
            <w:shd w:val="clear" w:color="auto" w:fill="E7E6E6" w:themeFill="background2"/>
            <w:noWrap/>
            <w:vAlign w:val="center"/>
            <w:hideMark/>
          </w:tcPr>
          <w:p w14:paraId="03F0EF0D"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64,6</w:t>
            </w:r>
          </w:p>
        </w:tc>
        <w:tc>
          <w:tcPr>
            <w:tcW w:w="718" w:type="dxa"/>
            <w:shd w:val="clear" w:color="auto" w:fill="E7E6E6" w:themeFill="background2"/>
            <w:noWrap/>
            <w:vAlign w:val="center"/>
            <w:hideMark/>
          </w:tcPr>
          <w:p w14:paraId="4D0F8064"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2,0</w:t>
            </w:r>
          </w:p>
        </w:tc>
        <w:tc>
          <w:tcPr>
            <w:tcW w:w="824" w:type="dxa"/>
            <w:tcBorders>
              <w:right w:val="single" w:sz="4" w:space="0" w:color="A5A5A5" w:themeColor="accent3"/>
            </w:tcBorders>
            <w:shd w:val="clear" w:color="auto" w:fill="E7E6E6" w:themeFill="background2"/>
            <w:noWrap/>
            <w:vAlign w:val="center"/>
            <w:hideMark/>
          </w:tcPr>
          <w:p w14:paraId="66BD5EC8" w14:textId="77777777"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eastAsia="Times New Roman" w:hAnsi="Calibri" w:cs="Calibri"/>
                <w:color w:val="000000"/>
                <w:sz w:val="20"/>
                <w:szCs w:val="20"/>
                <w:lang w:val="en-GB" w:eastAsia="en-GB"/>
              </w:rPr>
              <w:t>84,8</w:t>
            </w:r>
          </w:p>
        </w:tc>
        <w:tc>
          <w:tcPr>
            <w:tcW w:w="107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7E6E6" w:themeFill="background2"/>
            <w:vAlign w:val="center"/>
          </w:tcPr>
          <w:p w14:paraId="11703721" w14:textId="2533FECE" w:rsidR="00DE3D27" w:rsidRPr="00B57D75" w:rsidRDefault="00DE3D27" w:rsidP="00DE3D27">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B57D75">
              <w:rPr>
                <w:rFonts w:ascii="Calibri" w:hAnsi="Calibri" w:cs="Calibri"/>
                <w:color w:val="000000"/>
                <w:sz w:val="20"/>
                <w:szCs w:val="20"/>
              </w:rPr>
              <w:t>-24,2%</w:t>
            </w:r>
          </w:p>
        </w:tc>
      </w:tr>
    </w:tbl>
    <w:p w14:paraId="74D00525" w14:textId="77777777" w:rsidR="00A313AB" w:rsidRPr="00B57D75" w:rsidRDefault="002C0FD4" w:rsidP="00A313AB">
      <w:pPr>
        <w:widowControl w:val="0"/>
        <w:spacing w:after="0" w:line="240" w:lineRule="atLeast"/>
        <w:ind w:firstLine="0"/>
        <w:jc w:val="center"/>
        <w:rPr>
          <w:rFonts w:eastAsia="Calibri" w:cs="Times New Roman"/>
          <w:sz w:val="16"/>
          <w:szCs w:val="16"/>
          <w:lang w:eastAsia="es-ES"/>
        </w:rPr>
      </w:pPr>
      <w:r w:rsidRPr="00B57D75">
        <w:rPr>
          <w:rFonts w:eastAsia="Calibri" w:cs="Times New Roman"/>
          <w:sz w:val="16"/>
          <w:szCs w:val="16"/>
          <w:lang w:eastAsia="es-ES"/>
        </w:rPr>
        <w:t xml:space="preserve">Fuente: Elaboración propia en base a datos del sitio web </w:t>
      </w:r>
      <w:hyperlink r:id="rId15" w:history="1">
        <w:r w:rsidR="00D5372D" w:rsidRPr="00B57D75">
          <w:rPr>
            <w:rStyle w:val="Hipervnculo"/>
            <w:rFonts w:eastAsia="Calibri" w:cs="Times New Roman"/>
            <w:sz w:val="16"/>
            <w:szCs w:val="16"/>
            <w:lang w:eastAsia="es-ES"/>
          </w:rPr>
          <w:t>www.transporte.gob.ar</w:t>
        </w:r>
      </w:hyperlink>
      <w:r w:rsidR="00D5372D" w:rsidRPr="00B57D75">
        <w:rPr>
          <w:rFonts w:eastAsia="Calibri" w:cs="Times New Roman"/>
          <w:sz w:val="16"/>
          <w:szCs w:val="16"/>
          <w:lang w:eastAsia="es-ES"/>
        </w:rPr>
        <w:t xml:space="preserve"> de la Sección Subsidios por Grupos Tarifarios</w:t>
      </w:r>
    </w:p>
    <w:p w14:paraId="33BA8375" w14:textId="77777777" w:rsidR="00A313AB" w:rsidRPr="00B57D75" w:rsidRDefault="00A313AB" w:rsidP="00A313AB">
      <w:pPr>
        <w:widowControl w:val="0"/>
        <w:spacing w:after="0" w:line="240" w:lineRule="atLeast"/>
        <w:ind w:firstLine="0"/>
        <w:jc w:val="center"/>
        <w:rPr>
          <w:rFonts w:eastAsia="Calibri" w:cs="Times New Roman"/>
          <w:sz w:val="16"/>
          <w:szCs w:val="16"/>
          <w:lang w:eastAsia="es-ES"/>
        </w:rPr>
      </w:pPr>
    </w:p>
    <w:p w14:paraId="41D8450E" w14:textId="10E3B552" w:rsidR="007D27E4" w:rsidRPr="00B57D75" w:rsidRDefault="00AA2432" w:rsidP="00847438">
      <w:pPr>
        <w:widowControl w:val="0"/>
        <w:spacing w:after="0" w:line="360" w:lineRule="auto"/>
        <w:ind w:firstLine="0"/>
        <w:jc w:val="both"/>
        <w:rPr>
          <w:rFonts w:eastAsia="Calibri" w:cs="Times New Roman"/>
          <w:sz w:val="24"/>
          <w:szCs w:val="24"/>
          <w:lang w:eastAsia="es-ES"/>
        </w:rPr>
      </w:pPr>
      <w:r w:rsidRPr="00B57D75">
        <w:rPr>
          <w:rFonts w:eastAsia="Calibri" w:cs="Times New Roman"/>
          <w:sz w:val="24"/>
          <w:szCs w:val="24"/>
          <w:lang w:eastAsia="es-ES"/>
        </w:rPr>
        <w:t xml:space="preserve">En el cuadro siguiente, el análisis se centra en evaluar el impacto que tuvo la Pandemia declarada por la OMS en las variables que venimos analizando. Para ello, se </w:t>
      </w:r>
      <w:r w:rsidR="00847438" w:rsidRPr="00B57D75">
        <w:rPr>
          <w:rFonts w:eastAsia="Calibri" w:cs="Times New Roman"/>
          <w:sz w:val="24"/>
          <w:szCs w:val="24"/>
          <w:lang w:eastAsia="es-ES"/>
        </w:rPr>
        <w:t>seleccionó</w:t>
      </w:r>
      <w:r w:rsidRPr="00B57D75">
        <w:rPr>
          <w:rFonts w:eastAsia="Calibri" w:cs="Times New Roman"/>
          <w:sz w:val="24"/>
          <w:szCs w:val="24"/>
          <w:lang w:eastAsia="es-ES"/>
        </w:rPr>
        <w:t xml:space="preserve"> </w:t>
      </w:r>
      <w:r w:rsidR="00847438" w:rsidRPr="00B57D75">
        <w:rPr>
          <w:rFonts w:eastAsia="Calibri" w:cs="Times New Roman"/>
          <w:sz w:val="24"/>
          <w:szCs w:val="24"/>
          <w:lang w:eastAsia="es-ES"/>
        </w:rPr>
        <w:t>el</w:t>
      </w:r>
      <w:r w:rsidRPr="00B57D75">
        <w:rPr>
          <w:rFonts w:eastAsia="Calibri" w:cs="Times New Roman"/>
          <w:sz w:val="24"/>
          <w:szCs w:val="24"/>
          <w:lang w:eastAsia="es-ES"/>
        </w:rPr>
        <w:t xml:space="preserve"> mes </w:t>
      </w:r>
      <w:r w:rsidR="00847438" w:rsidRPr="00B57D75">
        <w:rPr>
          <w:rFonts w:eastAsia="Calibri" w:cs="Times New Roman"/>
          <w:sz w:val="24"/>
          <w:szCs w:val="24"/>
          <w:lang w:eastAsia="es-ES"/>
        </w:rPr>
        <w:t>de febrero (</w:t>
      </w:r>
      <w:r w:rsidRPr="00B57D75">
        <w:rPr>
          <w:rFonts w:eastAsia="Calibri" w:cs="Times New Roman"/>
          <w:sz w:val="24"/>
          <w:szCs w:val="24"/>
          <w:lang w:eastAsia="es-ES"/>
        </w:rPr>
        <w:t>sin la emergencia sanitaria declarada</w:t>
      </w:r>
      <w:r w:rsidR="00847438" w:rsidRPr="00B57D75">
        <w:rPr>
          <w:rFonts w:eastAsia="Calibri" w:cs="Times New Roman"/>
          <w:sz w:val="24"/>
          <w:szCs w:val="24"/>
          <w:lang w:eastAsia="es-ES"/>
        </w:rPr>
        <w:t>) y el mes de junio (con la emergencia sanitaria declarada). Del análisis comparativo, se desprende que los Ingresos por Tarifa Técnica disminuyeron dentro de cada grupo tarifario entre un 66% y 70%, esto se debe principalmente a la caída que se registran en la cantidad de boletos que experimentaron caídas entre el 56% y 71%, observando la mayor disminución en l</w:t>
      </w:r>
      <w:r w:rsidR="00BF59CD" w:rsidRPr="00B57D75">
        <w:rPr>
          <w:rFonts w:eastAsia="Calibri" w:cs="Times New Roman"/>
          <w:sz w:val="24"/>
          <w:szCs w:val="24"/>
          <w:lang w:eastAsia="es-ES"/>
        </w:rPr>
        <w:t>os usuarios del distrito federal.</w:t>
      </w:r>
      <w:r w:rsidR="00847438" w:rsidRPr="00B57D75">
        <w:rPr>
          <w:rFonts w:eastAsia="Calibri" w:cs="Times New Roman"/>
          <w:sz w:val="24"/>
          <w:szCs w:val="24"/>
          <w:lang w:eastAsia="es-ES"/>
        </w:rPr>
        <w:t xml:space="preserve"> </w:t>
      </w:r>
    </w:p>
    <w:p w14:paraId="0AAFB700" w14:textId="58F59552" w:rsidR="00795C48" w:rsidRPr="00B57D75" w:rsidRDefault="00795C48" w:rsidP="00847438">
      <w:pPr>
        <w:widowControl w:val="0"/>
        <w:spacing w:after="0" w:line="360" w:lineRule="auto"/>
        <w:ind w:firstLine="0"/>
        <w:jc w:val="both"/>
        <w:rPr>
          <w:rFonts w:eastAsia="Calibri" w:cs="Times New Roman"/>
          <w:sz w:val="24"/>
          <w:szCs w:val="24"/>
          <w:lang w:eastAsia="es-ES"/>
        </w:rPr>
      </w:pPr>
      <w:r w:rsidRPr="00B57D75">
        <w:rPr>
          <w:rFonts w:eastAsia="Calibri" w:cs="Times New Roman"/>
          <w:sz w:val="24"/>
          <w:szCs w:val="24"/>
          <w:lang w:eastAsia="es-ES"/>
        </w:rPr>
        <w:t>En cuanto, al porcentaje de la Tarifa Técnica Compensada, entre el mes de febrero y junio, se observa caídas poco significativas en los grupos tarifarios del Distrito Federal y Suburbana Grupo I. Mientras que, en las empresas pertenecientes al grupo tarifario Suburbana Grupo II se verifica un incremento del 1,8%, alcanzando un 58,7% de la tarifa técnica compensada para este grupo.</w:t>
      </w:r>
    </w:p>
    <w:p w14:paraId="5F3D6415" w14:textId="77777777" w:rsidR="007D27E4" w:rsidRPr="00B57D75" w:rsidRDefault="007D27E4" w:rsidP="007D27E4">
      <w:pPr>
        <w:widowControl w:val="0"/>
        <w:spacing w:after="0" w:line="240" w:lineRule="auto"/>
        <w:ind w:firstLine="0"/>
        <w:jc w:val="center"/>
        <w:rPr>
          <w:rFonts w:eastAsia="Calibri" w:cs="Times New Roman"/>
          <w:b/>
          <w:bCs/>
          <w:sz w:val="24"/>
          <w:szCs w:val="24"/>
          <w:lang w:eastAsia="es-ES"/>
        </w:rPr>
      </w:pPr>
    </w:p>
    <w:p w14:paraId="7859BCBD" w14:textId="3C2834B2" w:rsidR="00EC7039" w:rsidRPr="00B57D75" w:rsidRDefault="007D27E4" w:rsidP="007D27E4">
      <w:pPr>
        <w:widowControl w:val="0"/>
        <w:spacing w:after="0" w:line="240" w:lineRule="auto"/>
        <w:ind w:firstLine="0"/>
        <w:jc w:val="center"/>
        <w:rPr>
          <w:rFonts w:eastAsia="Calibri" w:cs="Times New Roman"/>
          <w:b/>
          <w:bCs/>
          <w:sz w:val="24"/>
          <w:szCs w:val="24"/>
          <w:lang w:eastAsia="es-ES"/>
        </w:rPr>
      </w:pPr>
      <w:r w:rsidRPr="00B57D75">
        <w:rPr>
          <w:rFonts w:eastAsia="Calibri" w:cs="Times New Roman"/>
          <w:b/>
          <w:bCs/>
          <w:sz w:val="24"/>
          <w:szCs w:val="24"/>
          <w:lang w:eastAsia="es-ES"/>
        </w:rPr>
        <w:t xml:space="preserve">Cuadro </w:t>
      </w:r>
      <w:proofErr w:type="spellStart"/>
      <w:r w:rsidRPr="00B57D75">
        <w:rPr>
          <w:rFonts w:eastAsia="Calibri" w:cs="Times New Roman"/>
          <w:b/>
          <w:bCs/>
          <w:sz w:val="24"/>
          <w:szCs w:val="24"/>
          <w:lang w:eastAsia="es-ES"/>
        </w:rPr>
        <w:t>Nº</w:t>
      </w:r>
      <w:proofErr w:type="spellEnd"/>
      <w:r w:rsidRPr="00B57D75">
        <w:rPr>
          <w:rFonts w:eastAsia="Calibri" w:cs="Times New Roman"/>
          <w:b/>
          <w:bCs/>
          <w:sz w:val="24"/>
          <w:szCs w:val="24"/>
          <w:lang w:eastAsia="es-ES"/>
        </w:rPr>
        <w:t xml:space="preserve"> </w:t>
      </w:r>
      <w:proofErr w:type="spellStart"/>
      <w:r w:rsidRPr="00B57D75">
        <w:rPr>
          <w:rFonts w:eastAsia="Calibri" w:cs="Times New Roman"/>
          <w:b/>
          <w:bCs/>
          <w:sz w:val="24"/>
          <w:szCs w:val="24"/>
          <w:lang w:eastAsia="es-ES"/>
        </w:rPr>
        <w:t>xx</w:t>
      </w:r>
      <w:proofErr w:type="spellEnd"/>
      <w:r w:rsidRPr="00B57D75">
        <w:rPr>
          <w:rFonts w:eastAsia="Calibri" w:cs="Times New Roman"/>
          <w:b/>
          <w:bCs/>
          <w:sz w:val="24"/>
          <w:szCs w:val="24"/>
          <w:lang w:eastAsia="es-ES"/>
        </w:rPr>
        <w:t xml:space="preserve"> – </w:t>
      </w:r>
      <w:r w:rsidR="00643AC0" w:rsidRPr="00B57D75">
        <w:rPr>
          <w:rFonts w:eastAsia="Calibri" w:cs="Times New Roman"/>
          <w:b/>
          <w:bCs/>
          <w:sz w:val="24"/>
          <w:szCs w:val="24"/>
          <w:lang w:eastAsia="es-ES"/>
        </w:rPr>
        <w:t xml:space="preserve">Efectos </w:t>
      </w:r>
      <w:r w:rsidR="00E117BB" w:rsidRPr="00B57D75">
        <w:rPr>
          <w:rFonts w:eastAsia="Calibri" w:cs="Times New Roman"/>
          <w:b/>
          <w:bCs/>
          <w:sz w:val="24"/>
          <w:szCs w:val="24"/>
          <w:lang w:eastAsia="es-ES"/>
        </w:rPr>
        <w:t xml:space="preserve">por </w:t>
      </w:r>
      <w:r w:rsidR="00643AC0" w:rsidRPr="00B57D75">
        <w:rPr>
          <w:rFonts w:eastAsia="Calibri" w:cs="Times New Roman"/>
          <w:b/>
          <w:bCs/>
          <w:sz w:val="24"/>
          <w:szCs w:val="24"/>
          <w:lang w:eastAsia="es-ES"/>
        </w:rPr>
        <w:t>COVID-19</w:t>
      </w:r>
      <w:r w:rsidR="00E117BB" w:rsidRPr="00B57D75">
        <w:rPr>
          <w:rFonts w:eastAsia="Calibri" w:cs="Times New Roman"/>
          <w:b/>
          <w:bCs/>
          <w:sz w:val="24"/>
          <w:szCs w:val="24"/>
          <w:lang w:eastAsia="es-ES"/>
        </w:rPr>
        <w:t xml:space="preserve"> en los Ingresos por Tarifa Técnica y en las Compensaciones Tarifarias a la </w:t>
      </w:r>
      <w:r w:rsidRPr="00B57D75">
        <w:rPr>
          <w:rFonts w:eastAsia="Calibri" w:cs="Times New Roman"/>
          <w:b/>
          <w:bCs/>
          <w:sz w:val="24"/>
          <w:szCs w:val="24"/>
          <w:lang w:eastAsia="es-ES"/>
        </w:rPr>
        <w:t>Demanda</w:t>
      </w:r>
      <w:r w:rsidR="00092328" w:rsidRPr="00B57D75">
        <w:rPr>
          <w:rFonts w:eastAsia="Calibri" w:cs="Times New Roman"/>
          <w:b/>
          <w:bCs/>
          <w:sz w:val="24"/>
          <w:szCs w:val="24"/>
          <w:lang w:eastAsia="es-ES"/>
        </w:rPr>
        <w:t xml:space="preserve"> (en millones de pesos)</w:t>
      </w:r>
    </w:p>
    <w:tbl>
      <w:tblPr>
        <w:tblStyle w:val="Tablaconcuadrcula4-nfasis3"/>
        <w:tblW w:w="8815" w:type="dxa"/>
        <w:tblLook w:val="04A0" w:firstRow="1" w:lastRow="0" w:firstColumn="1" w:lastColumn="0" w:noHBand="0" w:noVBand="1"/>
      </w:tblPr>
      <w:tblGrid>
        <w:gridCol w:w="1980"/>
        <w:gridCol w:w="1547"/>
        <w:gridCol w:w="1322"/>
        <w:gridCol w:w="1322"/>
        <w:gridCol w:w="1322"/>
        <w:gridCol w:w="1322"/>
      </w:tblGrid>
      <w:tr w:rsidR="00BC21FF" w:rsidRPr="00B57D75" w14:paraId="3C6EA44E" w14:textId="77777777" w:rsidTr="00E117BB">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A5A5A5" w:themeColor="accent3"/>
            </w:tcBorders>
            <w:shd w:val="clear" w:color="auto" w:fill="E7E6E6" w:themeFill="background2"/>
            <w:vAlign w:val="center"/>
            <w:hideMark/>
          </w:tcPr>
          <w:p w14:paraId="490E5B18" w14:textId="05AD37EE" w:rsidR="00BC21FF" w:rsidRPr="00B57D75" w:rsidRDefault="00E117BB" w:rsidP="00E117BB">
            <w:pPr>
              <w:spacing w:after="0" w:line="240" w:lineRule="auto"/>
              <w:ind w:firstLine="0"/>
              <w:jc w:val="center"/>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CONCEPTO</w:t>
            </w:r>
          </w:p>
        </w:tc>
        <w:tc>
          <w:tcPr>
            <w:tcW w:w="1547" w:type="dxa"/>
            <w:tcBorders>
              <w:left w:val="single" w:sz="4" w:space="0" w:color="A5A5A5" w:themeColor="accent3"/>
              <w:right w:val="single" w:sz="4" w:space="0" w:color="A5A5A5" w:themeColor="accent3"/>
            </w:tcBorders>
            <w:shd w:val="clear" w:color="auto" w:fill="E7E6E6" w:themeFill="background2"/>
            <w:noWrap/>
            <w:vAlign w:val="center"/>
            <w:hideMark/>
          </w:tcPr>
          <w:p w14:paraId="46C98587" w14:textId="0739C4E4" w:rsidR="00BC21FF" w:rsidRPr="00B57D75" w:rsidRDefault="00E117BB" w:rsidP="00E117B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MES</w:t>
            </w:r>
          </w:p>
        </w:tc>
        <w:tc>
          <w:tcPr>
            <w:tcW w:w="1322" w:type="dxa"/>
            <w:tcBorders>
              <w:left w:val="single" w:sz="4" w:space="0" w:color="A5A5A5" w:themeColor="accent3"/>
              <w:right w:val="single" w:sz="4" w:space="0" w:color="A5A5A5" w:themeColor="accent3"/>
            </w:tcBorders>
            <w:shd w:val="clear" w:color="auto" w:fill="E7E6E6" w:themeFill="background2"/>
            <w:noWrap/>
            <w:vAlign w:val="center"/>
            <w:hideMark/>
          </w:tcPr>
          <w:p w14:paraId="3C1475C4" w14:textId="77777777" w:rsidR="00BC21FF" w:rsidRPr="00B57D75" w:rsidRDefault="00BC21FF" w:rsidP="00E117B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D.F</w:t>
            </w:r>
          </w:p>
        </w:tc>
        <w:tc>
          <w:tcPr>
            <w:tcW w:w="1322" w:type="dxa"/>
            <w:tcBorders>
              <w:left w:val="single" w:sz="4" w:space="0" w:color="A5A5A5" w:themeColor="accent3"/>
              <w:right w:val="single" w:sz="4" w:space="0" w:color="A5A5A5" w:themeColor="accent3"/>
            </w:tcBorders>
            <w:shd w:val="clear" w:color="auto" w:fill="E7E6E6" w:themeFill="background2"/>
            <w:noWrap/>
            <w:vAlign w:val="center"/>
            <w:hideMark/>
          </w:tcPr>
          <w:p w14:paraId="77F6C55A" w14:textId="77777777" w:rsidR="00BC21FF" w:rsidRPr="00B57D75" w:rsidRDefault="00BC21FF" w:rsidP="00E117B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S.</w:t>
            </w:r>
            <w:proofErr w:type="gramStart"/>
            <w:r w:rsidRPr="00B57D75">
              <w:rPr>
                <w:rFonts w:eastAsia="Times New Roman" w:cstheme="minorHAnsi"/>
                <w:color w:val="000000"/>
                <w:sz w:val="20"/>
                <w:szCs w:val="20"/>
                <w:lang w:val="en-GB" w:eastAsia="en-GB"/>
              </w:rPr>
              <w:t>G.I</w:t>
            </w:r>
            <w:proofErr w:type="gramEnd"/>
          </w:p>
        </w:tc>
        <w:tc>
          <w:tcPr>
            <w:tcW w:w="1322" w:type="dxa"/>
            <w:tcBorders>
              <w:left w:val="single" w:sz="4" w:space="0" w:color="A5A5A5" w:themeColor="accent3"/>
              <w:right w:val="single" w:sz="4" w:space="0" w:color="A5A5A5" w:themeColor="accent3"/>
            </w:tcBorders>
            <w:shd w:val="clear" w:color="auto" w:fill="E7E6E6" w:themeFill="background2"/>
            <w:noWrap/>
            <w:vAlign w:val="center"/>
            <w:hideMark/>
          </w:tcPr>
          <w:p w14:paraId="50FE1624" w14:textId="77777777" w:rsidR="00BC21FF" w:rsidRPr="00B57D75" w:rsidRDefault="00BC21FF" w:rsidP="00E117B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S.</w:t>
            </w:r>
            <w:proofErr w:type="gramStart"/>
            <w:r w:rsidRPr="00B57D75">
              <w:rPr>
                <w:rFonts w:eastAsia="Times New Roman" w:cstheme="minorHAnsi"/>
                <w:color w:val="000000"/>
                <w:sz w:val="20"/>
                <w:szCs w:val="20"/>
                <w:lang w:val="en-GB" w:eastAsia="en-GB"/>
              </w:rPr>
              <w:t>G.II</w:t>
            </w:r>
            <w:proofErr w:type="gramEnd"/>
          </w:p>
        </w:tc>
        <w:tc>
          <w:tcPr>
            <w:tcW w:w="1322" w:type="dxa"/>
            <w:tcBorders>
              <w:left w:val="single" w:sz="4" w:space="0" w:color="A5A5A5" w:themeColor="accent3"/>
            </w:tcBorders>
            <w:shd w:val="clear" w:color="auto" w:fill="E7E6E6" w:themeFill="background2"/>
            <w:noWrap/>
            <w:vAlign w:val="center"/>
            <w:hideMark/>
          </w:tcPr>
          <w:p w14:paraId="3EA43413" w14:textId="128A1310" w:rsidR="00BC21FF" w:rsidRPr="00B57D75" w:rsidRDefault="00E117BB" w:rsidP="00E117B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TOTAL</w:t>
            </w:r>
          </w:p>
        </w:tc>
      </w:tr>
      <w:tr w:rsidR="00BC21FF" w:rsidRPr="00B57D75" w14:paraId="5BDE1ECF" w14:textId="77777777" w:rsidTr="00E117BB">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hideMark/>
          </w:tcPr>
          <w:p w14:paraId="7BA21149" w14:textId="719D2E00" w:rsidR="00BC21FF" w:rsidRPr="00B57D75" w:rsidRDefault="00BC21FF" w:rsidP="00BC21FF">
            <w:pPr>
              <w:spacing w:after="0" w:line="240" w:lineRule="auto"/>
              <w:ind w:firstLine="0"/>
              <w:rPr>
                <w:rFonts w:eastAsia="Times New Roman" w:cstheme="minorHAnsi"/>
                <w:b w:val="0"/>
                <w:bCs w:val="0"/>
                <w:color w:val="000000"/>
                <w:sz w:val="20"/>
                <w:szCs w:val="20"/>
                <w:lang w:val="es-ES" w:eastAsia="en-GB"/>
              </w:rPr>
            </w:pPr>
            <w:r w:rsidRPr="00B57D75">
              <w:rPr>
                <w:rFonts w:eastAsia="Times New Roman" w:cstheme="minorHAnsi"/>
                <w:b w:val="0"/>
                <w:bCs w:val="0"/>
                <w:color w:val="000000"/>
                <w:sz w:val="20"/>
                <w:szCs w:val="20"/>
                <w:lang w:val="es-ES" w:eastAsia="en-GB"/>
              </w:rPr>
              <w:t>Ingresos por Tarifa Técnica</w:t>
            </w:r>
          </w:p>
        </w:tc>
        <w:tc>
          <w:tcPr>
            <w:tcW w:w="15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137E0C44" w14:textId="63238883" w:rsidR="00E117BB" w:rsidRPr="00B57D75" w:rsidRDefault="00E117BB" w:rsidP="00BC21FF">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Febrero-20</w:t>
            </w:r>
          </w:p>
        </w:tc>
        <w:tc>
          <w:tcPr>
            <w:tcW w:w="13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65A95229" w14:textId="4D810E1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1.554,7</w:t>
            </w:r>
          </w:p>
        </w:tc>
        <w:tc>
          <w:tcPr>
            <w:tcW w:w="13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2BC1D759" w14:textId="71956B71"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6.126,8</w:t>
            </w:r>
          </w:p>
        </w:tc>
        <w:tc>
          <w:tcPr>
            <w:tcW w:w="13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466F2CC0" w14:textId="384AB62C"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193,6</w:t>
            </w:r>
          </w:p>
        </w:tc>
        <w:tc>
          <w:tcPr>
            <w:tcW w:w="13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noWrap/>
            <w:vAlign w:val="center"/>
            <w:hideMark/>
          </w:tcPr>
          <w:p w14:paraId="32149D2A" w14:textId="79CFBA66"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7.875,1</w:t>
            </w:r>
          </w:p>
        </w:tc>
      </w:tr>
      <w:tr w:rsidR="00BC21FF" w:rsidRPr="00B57D75" w14:paraId="1F1C00DC" w14:textId="77777777" w:rsidTr="00E117BB">
        <w:trPr>
          <w:trHeight w:val="369"/>
        </w:trPr>
        <w:tc>
          <w:tcPr>
            <w:cnfStyle w:val="001000000000" w:firstRow="0" w:lastRow="0" w:firstColumn="1" w:lastColumn="0" w:oddVBand="0" w:evenVBand="0" w:oddHBand="0" w:evenHBand="0" w:firstRowFirstColumn="0" w:firstRowLastColumn="0" w:lastRowFirstColumn="0" w:lastRowLastColumn="0"/>
            <w:tcW w:w="1980" w:type="dxa"/>
            <w:vMerge/>
            <w:tcBorders>
              <w:top w:val="single" w:sz="4" w:space="0" w:color="A5A5A5" w:themeColor="accent3"/>
            </w:tcBorders>
            <w:vAlign w:val="center"/>
            <w:hideMark/>
          </w:tcPr>
          <w:p w14:paraId="7350E122" w14:textId="312ECB00" w:rsidR="00BC21FF" w:rsidRPr="00B57D75" w:rsidRDefault="00BC21FF" w:rsidP="00BC21FF">
            <w:pPr>
              <w:spacing w:after="0" w:line="240" w:lineRule="auto"/>
              <w:ind w:firstLine="0"/>
              <w:rPr>
                <w:rFonts w:eastAsia="Times New Roman" w:cstheme="minorHAnsi"/>
                <w:b w:val="0"/>
                <w:bCs w:val="0"/>
                <w:color w:val="000000"/>
                <w:sz w:val="20"/>
                <w:szCs w:val="20"/>
                <w:lang w:val="en-GB" w:eastAsia="en-GB"/>
              </w:rPr>
            </w:pPr>
          </w:p>
        </w:tc>
        <w:tc>
          <w:tcPr>
            <w:tcW w:w="1547" w:type="dxa"/>
            <w:tcBorders>
              <w:top w:val="single" w:sz="4" w:space="0" w:color="A5A5A5" w:themeColor="accent3"/>
            </w:tcBorders>
            <w:noWrap/>
            <w:vAlign w:val="center"/>
            <w:hideMark/>
          </w:tcPr>
          <w:p w14:paraId="00D9D1D0" w14:textId="68A507DC" w:rsidR="00BC21FF" w:rsidRPr="00B57D75" w:rsidRDefault="00E117BB" w:rsidP="00BC21FF">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Junio-20</w:t>
            </w:r>
          </w:p>
        </w:tc>
        <w:tc>
          <w:tcPr>
            <w:tcW w:w="1322" w:type="dxa"/>
            <w:tcBorders>
              <w:top w:val="single" w:sz="4" w:space="0" w:color="A5A5A5" w:themeColor="accent3"/>
            </w:tcBorders>
            <w:noWrap/>
            <w:vAlign w:val="center"/>
            <w:hideMark/>
          </w:tcPr>
          <w:p w14:paraId="3F52C0CD" w14:textId="72126B29"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461,9</w:t>
            </w:r>
          </w:p>
        </w:tc>
        <w:tc>
          <w:tcPr>
            <w:tcW w:w="1322" w:type="dxa"/>
            <w:tcBorders>
              <w:top w:val="single" w:sz="4" w:space="0" w:color="A5A5A5" w:themeColor="accent3"/>
            </w:tcBorders>
            <w:noWrap/>
            <w:vAlign w:val="center"/>
            <w:hideMark/>
          </w:tcPr>
          <w:p w14:paraId="64BB40B4" w14:textId="4354AEBB"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1.956,0</w:t>
            </w:r>
          </w:p>
        </w:tc>
        <w:tc>
          <w:tcPr>
            <w:tcW w:w="1322" w:type="dxa"/>
            <w:tcBorders>
              <w:top w:val="single" w:sz="4" w:space="0" w:color="A5A5A5" w:themeColor="accent3"/>
            </w:tcBorders>
            <w:noWrap/>
            <w:vAlign w:val="center"/>
            <w:hideMark/>
          </w:tcPr>
          <w:p w14:paraId="7EAE2296" w14:textId="3DEAC049"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64,5</w:t>
            </w:r>
          </w:p>
        </w:tc>
        <w:tc>
          <w:tcPr>
            <w:tcW w:w="1322" w:type="dxa"/>
            <w:tcBorders>
              <w:top w:val="single" w:sz="4" w:space="0" w:color="A5A5A5" w:themeColor="accent3"/>
            </w:tcBorders>
            <w:noWrap/>
            <w:vAlign w:val="center"/>
            <w:hideMark/>
          </w:tcPr>
          <w:p w14:paraId="7971D597" w14:textId="244245D5"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2.482,4</w:t>
            </w:r>
          </w:p>
        </w:tc>
      </w:tr>
      <w:tr w:rsidR="00BC21FF" w:rsidRPr="00B57D75" w14:paraId="4478EB2C"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1059CD45" w14:textId="1D7DCFA0" w:rsidR="00BC21FF" w:rsidRPr="00B57D75" w:rsidRDefault="00BC21FF" w:rsidP="00BC21FF">
            <w:pPr>
              <w:spacing w:after="0" w:line="240" w:lineRule="auto"/>
              <w:ind w:firstLine="0"/>
              <w:rPr>
                <w:rFonts w:eastAsia="Times New Roman" w:cstheme="minorHAnsi"/>
                <w:b w:val="0"/>
                <w:bCs w:val="0"/>
                <w:color w:val="000000"/>
                <w:sz w:val="20"/>
                <w:szCs w:val="20"/>
                <w:lang w:val="en-GB" w:eastAsia="en-GB"/>
              </w:rPr>
            </w:pPr>
          </w:p>
        </w:tc>
        <w:tc>
          <w:tcPr>
            <w:tcW w:w="1547" w:type="dxa"/>
            <w:noWrap/>
            <w:vAlign w:val="center"/>
            <w:hideMark/>
          </w:tcPr>
          <w:p w14:paraId="60247F45" w14:textId="77777777" w:rsidR="00BC21FF" w:rsidRPr="00B57D75" w:rsidRDefault="00BC21FF" w:rsidP="00BC21FF">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proofErr w:type="spellStart"/>
            <w:r w:rsidRPr="00B57D75">
              <w:rPr>
                <w:rFonts w:eastAsia="Times New Roman" w:cstheme="minorHAnsi"/>
                <w:color w:val="000000"/>
                <w:sz w:val="20"/>
                <w:szCs w:val="20"/>
                <w:lang w:val="en-GB" w:eastAsia="en-GB"/>
              </w:rPr>
              <w:t>Variación</w:t>
            </w:r>
            <w:proofErr w:type="spellEnd"/>
            <w:r w:rsidRPr="00B57D75">
              <w:rPr>
                <w:rFonts w:eastAsia="Times New Roman" w:cstheme="minorHAnsi"/>
                <w:color w:val="000000"/>
                <w:sz w:val="20"/>
                <w:szCs w:val="20"/>
                <w:lang w:val="en-GB" w:eastAsia="en-GB"/>
              </w:rPr>
              <w:t xml:space="preserve"> </w:t>
            </w:r>
            <w:proofErr w:type="spellStart"/>
            <w:r w:rsidRPr="00B57D75">
              <w:rPr>
                <w:rFonts w:eastAsia="Times New Roman" w:cstheme="minorHAnsi"/>
                <w:color w:val="000000"/>
                <w:sz w:val="20"/>
                <w:szCs w:val="20"/>
                <w:lang w:val="en-GB" w:eastAsia="en-GB"/>
              </w:rPr>
              <w:t>intermensual</w:t>
            </w:r>
            <w:proofErr w:type="spellEnd"/>
          </w:p>
        </w:tc>
        <w:tc>
          <w:tcPr>
            <w:tcW w:w="1322" w:type="dxa"/>
            <w:noWrap/>
            <w:vAlign w:val="center"/>
            <w:hideMark/>
          </w:tcPr>
          <w:p w14:paraId="73336489"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-70,3%</w:t>
            </w:r>
          </w:p>
        </w:tc>
        <w:tc>
          <w:tcPr>
            <w:tcW w:w="1322" w:type="dxa"/>
            <w:noWrap/>
            <w:vAlign w:val="center"/>
            <w:hideMark/>
          </w:tcPr>
          <w:p w14:paraId="15A4E03F"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-68,1%</w:t>
            </w:r>
          </w:p>
        </w:tc>
        <w:tc>
          <w:tcPr>
            <w:tcW w:w="1322" w:type="dxa"/>
            <w:noWrap/>
            <w:vAlign w:val="center"/>
            <w:hideMark/>
          </w:tcPr>
          <w:p w14:paraId="713B89C1"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-66,7%</w:t>
            </w:r>
          </w:p>
        </w:tc>
        <w:tc>
          <w:tcPr>
            <w:tcW w:w="1322" w:type="dxa"/>
            <w:noWrap/>
            <w:vAlign w:val="center"/>
            <w:hideMark/>
          </w:tcPr>
          <w:p w14:paraId="1420AC26"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-68,5%</w:t>
            </w:r>
          </w:p>
        </w:tc>
      </w:tr>
      <w:tr w:rsidR="00E117BB" w:rsidRPr="00B57D75" w14:paraId="2C15E188" w14:textId="77777777" w:rsidTr="00BC21FF">
        <w:trPr>
          <w:trHeight w:val="369"/>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hideMark/>
          </w:tcPr>
          <w:p w14:paraId="6DE2C7C1" w14:textId="66057821" w:rsidR="00E117BB" w:rsidRPr="00B57D75" w:rsidRDefault="00E117BB" w:rsidP="00E117BB">
            <w:pPr>
              <w:spacing w:after="0" w:line="240" w:lineRule="auto"/>
              <w:ind w:firstLine="0"/>
              <w:rPr>
                <w:rFonts w:eastAsia="Times New Roman" w:cstheme="minorHAnsi"/>
                <w:b w:val="0"/>
                <w:bCs w:val="0"/>
                <w:color w:val="000000"/>
                <w:sz w:val="20"/>
                <w:szCs w:val="20"/>
                <w:lang w:val="es-ES" w:eastAsia="en-GB"/>
              </w:rPr>
            </w:pPr>
            <w:r w:rsidRPr="00B57D75">
              <w:rPr>
                <w:rFonts w:eastAsia="Times New Roman" w:cstheme="minorHAnsi"/>
                <w:b w:val="0"/>
                <w:bCs w:val="0"/>
                <w:color w:val="000000"/>
                <w:sz w:val="20"/>
                <w:szCs w:val="20"/>
                <w:lang w:val="es-ES" w:eastAsia="en-GB"/>
              </w:rPr>
              <w:lastRenderedPageBreak/>
              <w:t>Ingresos por Tarifas que recibe la empresa</w:t>
            </w:r>
          </w:p>
        </w:tc>
        <w:tc>
          <w:tcPr>
            <w:tcW w:w="1547" w:type="dxa"/>
            <w:noWrap/>
            <w:vAlign w:val="center"/>
            <w:hideMark/>
          </w:tcPr>
          <w:p w14:paraId="30162FF9" w14:textId="1E049ABC" w:rsidR="00E117BB" w:rsidRPr="00B57D75" w:rsidRDefault="00E117BB" w:rsidP="00E117BB">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Febrero-20</w:t>
            </w:r>
          </w:p>
        </w:tc>
        <w:tc>
          <w:tcPr>
            <w:tcW w:w="1322" w:type="dxa"/>
            <w:noWrap/>
            <w:vAlign w:val="center"/>
            <w:hideMark/>
          </w:tcPr>
          <w:p w14:paraId="5E3B3CD8" w14:textId="685CB076"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262,7</w:t>
            </w:r>
          </w:p>
        </w:tc>
        <w:tc>
          <w:tcPr>
            <w:tcW w:w="1322" w:type="dxa"/>
            <w:noWrap/>
            <w:vAlign w:val="center"/>
            <w:hideMark/>
          </w:tcPr>
          <w:p w14:paraId="219A1F0F" w14:textId="30F991D1"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955,1</w:t>
            </w:r>
          </w:p>
        </w:tc>
        <w:tc>
          <w:tcPr>
            <w:tcW w:w="1322" w:type="dxa"/>
            <w:noWrap/>
            <w:vAlign w:val="center"/>
            <w:hideMark/>
          </w:tcPr>
          <w:p w14:paraId="30A64E34" w14:textId="6A6CB653"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83,4</w:t>
            </w:r>
          </w:p>
        </w:tc>
        <w:tc>
          <w:tcPr>
            <w:tcW w:w="1322" w:type="dxa"/>
            <w:noWrap/>
            <w:vAlign w:val="center"/>
            <w:hideMark/>
          </w:tcPr>
          <w:p w14:paraId="7712ECDD" w14:textId="50E2C215"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1.301,2</w:t>
            </w:r>
          </w:p>
        </w:tc>
      </w:tr>
      <w:tr w:rsidR="00E117BB" w:rsidRPr="00B57D75" w14:paraId="047DEB97"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5E79F300" w14:textId="263C781F" w:rsidR="00E117BB" w:rsidRPr="00B57D75" w:rsidRDefault="00E117BB" w:rsidP="00E117BB">
            <w:pPr>
              <w:spacing w:after="0" w:line="240" w:lineRule="auto"/>
              <w:ind w:firstLine="0"/>
              <w:rPr>
                <w:rFonts w:eastAsia="Times New Roman" w:cstheme="minorHAnsi"/>
                <w:b w:val="0"/>
                <w:bCs w:val="0"/>
                <w:color w:val="000000"/>
                <w:sz w:val="20"/>
                <w:szCs w:val="20"/>
                <w:lang w:val="en-GB" w:eastAsia="en-GB"/>
              </w:rPr>
            </w:pPr>
          </w:p>
        </w:tc>
        <w:tc>
          <w:tcPr>
            <w:tcW w:w="1547" w:type="dxa"/>
            <w:noWrap/>
            <w:vAlign w:val="center"/>
            <w:hideMark/>
          </w:tcPr>
          <w:p w14:paraId="076C239D" w14:textId="6A6BE812" w:rsidR="00E117BB" w:rsidRPr="00B57D75" w:rsidRDefault="00E117BB" w:rsidP="00E117BB">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Junio-20</w:t>
            </w:r>
          </w:p>
        </w:tc>
        <w:tc>
          <w:tcPr>
            <w:tcW w:w="1322" w:type="dxa"/>
            <w:noWrap/>
            <w:vAlign w:val="center"/>
            <w:hideMark/>
          </w:tcPr>
          <w:p w14:paraId="5A9F04FE" w14:textId="38921210"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78,5</w:t>
            </w:r>
          </w:p>
        </w:tc>
        <w:tc>
          <w:tcPr>
            <w:tcW w:w="1322" w:type="dxa"/>
            <w:noWrap/>
            <w:vAlign w:val="center"/>
            <w:hideMark/>
          </w:tcPr>
          <w:p w14:paraId="218F5EA4" w14:textId="60467CE5"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308,3</w:t>
            </w:r>
          </w:p>
        </w:tc>
        <w:tc>
          <w:tcPr>
            <w:tcW w:w="1322" w:type="dxa"/>
            <w:noWrap/>
            <w:vAlign w:val="center"/>
            <w:hideMark/>
          </w:tcPr>
          <w:p w14:paraId="142E6F4E" w14:textId="219B3264"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26,7</w:t>
            </w:r>
          </w:p>
        </w:tc>
        <w:tc>
          <w:tcPr>
            <w:tcW w:w="1322" w:type="dxa"/>
            <w:noWrap/>
            <w:vAlign w:val="center"/>
            <w:hideMark/>
          </w:tcPr>
          <w:p w14:paraId="5470BFE1" w14:textId="55268370"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413,5</w:t>
            </w:r>
          </w:p>
        </w:tc>
      </w:tr>
      <w:tr w:rsidR="00BC21FF" w:rsidRPr="00B57D75" w14:paraId="6C06B224" w14:textId="77777777" w:rsidTr="00BC21FF">
        <w:trPr>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6DC3B2F4" w14:textId="418D43DE" w:rsidR="00BC21FF" w:rsidRPr="00B57D75" w:rsidRDefault="00BC21FF" w:rsidP="00BC21FF">
            <w:pPr>
              <w:spacing w:after="0" w:line="240" w:lineRule="auto"/>
              <w:ind w:firstLine="0"/>
              <w:rPr>
                <w:rFonts w:eastAsia="Times New Roman" w:cstheme="minorHAnsi"/>
                <w:b w:val="0"/>
                <w:bCs w:val="0"/>
                <w:color w:val="000000"/>
                <w:sz w:val="20"/>
                <w:szCs w:val="20"/>
                <w:lang w:val="en-GB" w:eastAsia="en-GB"/>
              </w:rPr>
            </w:pPr>
          </w:p>
        </w:tc>
        <w:tc>
          <w:tcPr>
            <w:tcW w:w="1547" w:type="dxa"/>
            <w:noWrap/>
            <w:vAlign w:val="center"/>
            <w:hideMark/>
          </w:tcPr>
          <w:p w14:paraId="07B53633" w14:textId="77777777" w:rsidR="00BC21FF" w:rsidRPr="00B57D75" w:rsidRDefault="00BC21FF" w:rsidP="00BC21FF">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B57D75">
              <w:rPr>
                <w:rFonts w:eastAsia="Times New Roman" w:cstheme="minorHAnsi"/>
                <w:color w:val="000000"/>
                <w:sz w:val="20"/>
                <w:szCs w:val="20"/>
                <w:lang w:val="en-GB" w:eastAsia="en-GB"/>
              </w:rPr>
              <w:t>Variación</w:t>
            </w:r>
            <w:proofErr w:type="spellEnd"/>
            <w:r w:rsidRPr="00B57D75">
              <w:rPr>
                <w:rFonts w:eastAsia="Times New Roman" w:cstheme="minorHAnsi"/>
                <w:color w:val="000000"/>
                <w:sz w:val="20"/>
                <w:szCs w:val="20"/>
                <w:lang w:val="en-GB" w:eastAsia="en-GB"/>
              </w:rPr>
              <w:t xml:space="preserve"> </w:t>
            </w:r>
            <w:proofErr w:type="spellStart"/>
            <w:r w:rsidRPr="00B57D75">
              <w:rPr>
                <w:rFonts w:eastAsia="Times New Roman" w:cstheme="minorHAnsi"/>
                <w:color w:val="000000"/>
                <w:sz w:val="20"/>
                <w:szCs w:val="20"/>
                <w:lang w:val="en-GB" w:eastAsia="en-GB"/>
              </w:rPr>
              <w:t>intermensual</w:t>
            </w:r>
            <w:proofErr w:type="spellEnd"/>
          </w:p>
        </w:tc>
        <w:tc>
          <w:tcPr>
            <w:tcW w:w="1322" w:type="dxa"/>
            <w:noWrap/>
            <w:vAlign w:val="center"/>
            <w:hideMark/>
          </w:tcPr>
          <w:p w14:paraId="4DED0A3C"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-70,1%</w:t>
            </w:r>
          </w:p>
        </w:tc>
        <w:tc>
          <w:tcPr>
            <w:tcW w:w="1322" w:type="dxa"/>
            <w:noWrap/>
            <w:vAlign w:val="center"/>
            <w:hideMark/>
          </w:tcPr>
          <w:p w14:paraId="19AE731F"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-67,7%</w:t>
            </w:r>
          </w:p>
        </w:tc>
        <w:tc>
          <w:tcPr>
            <w:tcW w:w="1322" w:type="dxa"/>
            <w:noWrap/>
            <w:vAlign w:val="center"/>
            <w:hideMark/>
          </w:tcPr>
          <w:p w14:paraId="54831F23"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-68,0%</w:t>
            </w:r>
          </w:p>
        </w:tc>
        <w:tc>
          <w:tcPr>
            <w:tcW w:w="1322" w:type="dxa"/>
            <w:noWrap/>
            <w:vAlign w:val="center"/>
            <w:hideMark/>
          </w:tcPr>
          <w:p w14:paraId="454E685E"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-68,2%</w:t>
            </w:r>
          </w:p>
        </w:tc>
      </w:tr>
      <w:tr w:rsidR="00E117BB" w:rsidRPr="00B57D75" w14:paraId="6DFDA828"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hideMark/>
          </w:tcPr>
          <w:p w14:paraId="57ED00AB" w14:textId="7FF3F54C" w:rsidR="00E117BB" w:rsidRPr="00B57D75" w:rsidRDefault="00E117BB" w:rsidP="00E117BB">
            <w:pPr>
              <w:spacing w:after="0" w:line="240" w:lineRule="auto"/>
              <w:ind w:firstLine="0"/>
              <w:rPr>
                <w:rFonts w:eastAsia="Times New Roman" w:cstheme="minorHAnsi"/>
                <w:b w:val="0"/>
                <w:bCs w:val="0"/>
                <w:color w:val="000000"/>
                <w:sz w:val="20"/>
                <w:szCs w:val="20"/>
                <w:lang w:val="es-ES" w:eastAsia="en-GB"/>
              </w:rPr>
            </w:pPr>
            <w:r w:rsidRPr="00B57D75">
              <w:rPr>
                <w:rFonts w:eastAsia="Times New Roman" w:cstheme="minorHAnsi"/>
                <w:b w:val="0"/>
                <w:bCs w:val="0"/>
                <w:color w:val="000000"/>
                <w:sz w:val="20"/>
                <w:szCs w:val="20"/>
                <w:lang w:val="es-ES" w:eastAsia="en-GB"/>
              </w:rPr>
              <w:t>Compensaciones por el Sistema de Boleto Integrado</w:t>
            </w:r>
          </w:p>
        </w:tc>
        <w:tc>
          <w:tcPr>
            <w:tcW w:w="1547" w:type="dxa"/>
            <w:noWrap/>
            <w:vAlign w:val="center"/>
            <w:hideMark/>
          </w:tcPr>
          <w:p w14:paraId="3A3F880C" w14:textId="6089B6FC" w:rsidR="00E117BB" w:rsidRPr="00B57D75" w:rsidRDefault="00E117BB" w:rsidP="00E117BB">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Febrero-20</w:t>
            </w:r>
          </w:p>
        </w:tc>
        <w:tc>
          <w:tcPr>
            <w:tcW w:w="1322" w:type="dxa"/>
            <w:noWrap/>
            <w:vAlign w:val="center"/>
            <w:hideMark/>
          </w:tcPr>
          <w:p w14:paraId="32530BBA" w14:textId="11DD77C9"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98,3</w:t>
            </w:r>
          </w:p>
        </w:tc>
        <w:tc>
          <w:tcPr>
            <w:tcW w:w="1322" w:type="dxa"/>
            <w:noWrap/>
            <w:vAlign w:val="center"/>
            <w:hideMark/>
          </w:tcPr>
          <w:p w14:paraId="36F5B078" w14:textId="25D9AFD6"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402,6</w:t>
            </w:r>
          </w:p>
        </w:tc>
        <w:tc>
          <w:tcPr>
            <w:tcW w:w="1322" w:type="dxa"/>
            <w:noWrap/>
            <w:vAlign w:val="center"/>
            <w:hideMark/>
          </w:tcPr>
          <w:p w14:paraId="0A7FB387" w14:textId="21B0CB9E"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44,9</w:t>
            </w:r>
          </w:p>
        </w:tc>
        <w:tc>
          <w:tcPr>
            <w:tcW w:w="1322" w:type="dxa"/>
            <w:noWrap/>
            <w:vAlign w:val="center"/>
            <w:hideMark/>
          </w:tcPr>
          <w:p w14:paraId="601703E7" w14:textId="4EB50AA1"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545,8</w:t>
            </w:r>
          </w:p>
        </w:tc>
      </w:tr>
      <w:tr w:rsidR="00E117BB" w:rsidRPr="00B57D75" w14:paraId="3FF30129" w14:textId="77777777" w:rsidTr="00BC21FF">
        <w:trPr>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3728EE4F" w14:textId="1265A493" w:rsidR="00E117BB" w:rsidRPr="00B57D75" w:rsidRDefault="00E117BB" w:rsidP="00E117BB">
            <w:pPr>
              <w:spacing w:after="0" w:line="240" w:lineRule="auto"/>
              <w:ind w:firstLine="0"/>
              <w:rPr>
                <w:rFonts w:eastAsia="Times New Roman" w:cstheme="minorHAnsi"/>
                <w:b w:val="0"/>
                <w:bCs w:val="0"/>
                <w:color w:val="000000"/>
                <w:sz w:val="20"/>
                <w:szCs w:val="20"/>
                <w:lang w:val="en-GB" w:eastAsia="en-GB"/>
              </w:rPr>
            </w:pPr>
          </w:p>
        </w:tc>
        <w:tc>
          <w:tcPr>
            <w:tcW w:w="1547" w:type="dxa"/>
            <w:noWrap/>
            <w:vAlign w:val="center"/>
            <w:hideMark/>
          </w:tcPr>
          <w:p w14:paraId="384B1634" w14:textId="458EE57E" w:rsidR="00E117BB" w:rsidRPr="00B57D75" w:rsidRDefault="00E117BB" w:rsidP="00E117BB">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Junio-20</w:t>
            </w:r>
          </w:p>
        </w:tc>
        <w:tc>
          <w:tcPr>
            <w:tcW w:w="1322" w:type="dxa"/>
            <w:noWrap/>
            <w:vAlign w:val="center"/>
            <w:hideMark/>
          </w:tcPr>
          <w:p w14:paraId="339FAA00" w14:textId="74F3CECC"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26,5</w:t>
            </w:r>
          </w:p>
        </w:tc>
        <w:tc>
          <w:tcPr>
            <w:tcW w:w="1322" w:type="dxa"/>
            <w:noWrap/>
            <w:vAlign w:val="center"/>
            <w:hideMark/>
          </w:tcPr>
          <w:p w14:paraId="0F498510" w14:textId="74CB4603"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126,0</w:t>
            </w:r>
          </w:p>
        </w:tc>
        <w:tc>
          <w:tcPr>
            <w:tcW w:w="1322" w:type="dxa"/>
            <w:noWrap/>
            <w:vAlign w:val="center"/>
            <w:hideMark/>
          </w:tcPr>
          <w:p w14:paraId="12828018" w14:textId="6DDEF15E"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14,8</w:t>
            </w:r>
          </w:p>
        </w:tc>
        <w:tc>
          <w:tcPr>
            <w:tcW w:w="1322" w:type="dxa"/>
            <w:noWrap/>
            <w:vAlign w:val="center"/>
            <w:hideMark/>
          </w:tcPr>
          <w:p w14:paraId="3378E4EC" w14:textId="22C635AF"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167,2</w:t>
            </w:r>
          </w:p>
        </w:tc>
      </w:tr>
      <w:tr w:rsidR="00BC21FF" w:rsidRPr="00B57D75" w14:paraId="2C6F994E"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68804A0C" w14:textId="29064BF3" w:rsidR="00BC21FF" w:rsidRPr="00B57D75" w:rsidRDefault="00BC21FF" w:rsidP="00BC21FF">
            <w:pPr>
              <w:spacing w:after="0" w:line="240" w:lineRule="auto"/>
              <w:ind w:firstLine="0"/>
              <w:rPr>
                <w:rFonts w:eastAsia="Times New Roman" w:cstheme="minorHAnsi"/>
                <w:b w:val="0"/>
                <w:bCs w:val="0"/>
                <w:color w:val="000000"/>
                <w:sz w:val="20"/>
                <w:szCs w:val="20"/>
                <w:lang w:val="en-GB" w:eastAsia="en-GB"/>
              </w:rPr>
            </w:pPr>
          </w:p>
        </w:tc>
        <w:tc>
          <w:tcPr>
            <w:tcW w:w="1547" w:type="dxa"/>
            <w:noWrap/>
            <w:vAlign w:val="center"/>
            <w:hideMark/>
          </w:tcPr>
          <w:p w14:paraId="1CA5AB7E" w14:textId="77777777" w:rsidR="00BC21FF" w:rsidRPr="00B57D75" w:rsidRDefault="00BC21FF" w:rsidP="00BC21FF">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proofErr w:type="spellStart"/>
            <w:r w:rsidRPr="00B57D75">
              <w:rPr>
                <w:rFonts w:eastAsia="Times New Roman" w:cstheme="minorHAnsi"/>
                <w:color w:val="000000"/>
                <w:sz w:val="20"/>
                <w:szCs w:val="20"/>
                <w:lang w:val="en-GB" w:eastAsia="en-GB"/>
              </w:rPr>
              <w:t>Variación</w:t>
            </w:r>
            <w:proofErr w:type="spellEnd"/>
            <w:r w:rsidRPr="00B57D75">
              <w:rPr>
                <w:rFonts w:eastAsia="Times New Roman" w:cstheme="minorHAnsi"/>
                <w:color w:val="000000"/>
                <w:sz w:val="20"/>
                <w:szCs w:val="20"/>
                <w:lang w:val="en-GB" w:eastAsia="en-GB"/>
              </w:rPr>
              <w:t xml:space="preserve"> </w:t>
            </w:r>
            <w:proofErr w:type="spellStart"/>
            <w:r w:rsidRPr="00B57D75">
              <w:rPr>
                <w:rFonts w:eastAsia="Times New Roman" w:cstheme="minorHAnsi"/>
                <w:color w:val="000000"/>
                <w:sz w:val="20"/>
                <w:szCs w:val="20"/>
                <w:lang w:val="en-GB" w:eastAsia="en-GB"/>
              </w:rPr>
              <w:t>intermensual</w:t>
            </w:r>
            <w:proofErr w:type="spellEnd"/>
          </w:p>
        </w:tc>
        <w:tc>
          <w:tcPr>
            <w:tcW w:w="1322" w:type="dxa"/>
            <w:noWrap/>
            <w:vAlign w:val="center"/>
            <w:hideMark/>
          </w:tcPr>
          <w:p w14:paraId="1AB0C14A"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-73,0%</w:t>
            </w:r>
          </w:p>
        </w:tc>
        <w:tc>
          <w:tcPr>
            <w:tcW w:w="1322" w:type="dxa"/>
            <w:noWrap/>
            <w:vAlign w:val="center"/>
            <w:hideMark/>
          </w:tcPr>
          <w:p w14:paraId="09F3F66C"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-68,7%</w:t>
            </w:r>
          </w:p>
        </w:tc>
        <w:tc>
          <w:tcPr>
            <w:tcW w:w="1322" w:type="dxa"/>
            <w:noWrap/>
            <w:vAlign w:val="center"/>
            <w:hideMark/>
          </w:tcPr>
          <w:p w14:paraId="6F414C19"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-67,1%</w:t>
            </w:r>
          </w:p>
        </w:tc>
        <w:tc>
          <w:tcPr>
            <w:tcW w:w="1322" w:type="dxa"/>
            <w:noWrap/>
            <w:vAlign w:val="center"/>
            <w:hideMark/>
          </w:tcPr>
          <w:p w14:paraId="37114422" w14:textId="77777777" w:rsidR="00BC21FF" w:rsidRPr="00B57D75" w:rsidRDefault="00BC21FF"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-69,4%</w:t>
            </w:r>
          </w:p>
        </w:tc>
      </w:tr>
      <w:tr w:rsidR="00E117BB" w:rsidRPr="00B57D75" w14:paraId="64A0298A" w14:textId="77777777" w:rsidTr="00BC21FF">
        <w:trPr>
          <w:trHeight w:val="369"/>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hideMark/>
          </w:tcPr>
          <w:p w14:paraId="50590DB7" w14:textId="53FA87C4" w:rsidR="00E117BB" w:rsidRPr="00B57D75" w:rsidRDefault="00E117BB" w:rsidP="00E117BB">
            <w:pPr>
              <w:spacing w:after="0" w:line="240" w:lineRule="auto"/>
              <w:ind w:firstLine="0"/>
              <w:rPr>
                <w:rFonts w:eastAsia="Times New Roman" w:cstheme="minorHAnsi"/>
                <w:b w:val="0"/>
                <w:bCs w:val="0"/>
                <w:color w:val="000000"/>
                <w:sz w:val="20"/>
                <w:szCs w:val="20"/>
                <w:lang w:val="es-ES" w:eastAsia="en-GB"/>
              </w:rPr>
            </w:pPr>
            <w:r w:rsidRPr="00B57D75">
              <w:rPr>
                <w:rFonts w:eastAsia="Times New Roman" w:cstheme="minorHAnsi"/>
                <w:b w:val="0"/>
                <w:bCs w:val="0"/>
                <w:color w:val="000000"/>
                <w:sz w:val="20"/>
                <w:szCs w:val="20"/>
                <w:lang w:val="es-ES" w:eastAsia="en-GB"/>
              </w:rPr>
              <w:t>Compensaciones Tarifarias a la Demanda</w:t>
            </w:r>
          </w:p>
        </w:tc>
        <w:tc>
          <w:tcPr>
            <w:tcW w:w="1547" w:type="dxa"/>
            <w:noWrap/>
            <w:vAlign w:val="center"/>
            <w:hideMark/>
          </w:tcPr>
          <w:p w14:paraId="03701128" w14:textId="5998C84E" w:rsidR="00E117BB" w:rsidRPr="00B57D75" w:rsidRDefault="00E117BB" w:rsidP="00E117BB">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Febrero-20</w:t>
            </w:r>
          </w:p>
        </w:tc>
        <w:tc>
          <w:tcPr>
            <w:tcW w:w="1322" w:type="dxa"/>
            <w:noWrap/>
            <w:vAlign w:val="center"/>
            <w:hideMark/>
          </w:tcPr>
          <w:p w14:paraId="7D4EDFAE" w14:textId="18205875"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1.193,7</w:t>
            </w:r>
          </w:p>
        </w:tc>
        <w:tc>
          <w:tcPr>
            <w:tcW w:w="1322" w:type="dxa"/>
            <w:noWrap/>
            <w:vAlign w:val="center"/>
            <w:hideMark/>
          </w:tcPr>
          <w:p w14:paraId="55E8003C" w14:textId="6FB6CE8A"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4.769,1</w:t>
            </w:r>
          </w:p>
        </w:tc>
        <w:tc>
          <w:tcPr>
            <w:tcW w:w="1322" w:type="dxa"/>
            <w:noWrap/>
            <w:vAlign w:val="center"/>
            <w:hideMark/>
          </w:tcPr>
          <w:p w14:paraId="405DD889" w14:textId="50F09538"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65,3</w:t>
            </w:r>
          </w:p>
        </w:tc>
        <w:tc>
          <w:tcPr>
            <w:tcW w:w="1322" w:type="dxa"/>
            <w:noWrap/>
            <w:vAlign w:val="center"/>
            <w:hideMark/>
          </w:tcPr>
          <w:p w14:paraId="6B48D855" w14:textId="6E5E45D2"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6.028,1</w:t>
            </w:r>
          </w:p>
        </w:tc>
      </w:tr>
      <w:tr w:rsidR="00E117BB" w:rsidRPr="00B57D75" w14:paraId="469CBD20"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6F668C4A" w14:textId="31A98AEB" w:rsidR="00E117BB" w:rsidRPr="00B57D75" w:rsidRDefault="00E117BB" w:rsidP="00E117BB">
            <w:pPr>
              <w:spacing w:after="0" w:line="240" w:lineRule="auto"/>
              <w:ind w:firstLine="0"/>
              <w:rPr>
                <w:rFonts w:eastAsia="Times New Roman" w:cstheme="minorHAnsi"/>
                <w:color w:val="000000"/>
                <w:sz w:val="20"/>
                <w:szCs w:val="20"/>
                <w:lang w:val="en-GB" w:eastAsia="en-GB"/>
              </w:rPr>
            </w:pPr>
          </w:p>
        </w:tc>
        <w:tc>
          <w:tcPr>
            <w:tcW w:w="1547" w:type="dxa"/>
            <w:noWrap/>
            <w:vAlign w:val="center"/>
            <w:hideMark/>
          </w:tcPr>
          <w:p w14:paraId="4C20E812" w14:textId="764A20AB" w:rsidR="00E117BB" w:rsidRPr="00B57D75" w:rsidRDefault="00E117BB" w:rsidP="00E117BB">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Junio-20</w:t>
            </w:r>
          </w:p>
        </w:tc>
        <w:tc>
          <w:tcPr>
            <w:tcW w:w="1322" w:type="dxa"/>
            <w:noWrap/>
            <w:vAlign w:val="center"/>
            <w:hideMark/>
          </w:tcPr>
          <w:p w14:paraId="2573D7AD" w14:textId="38B52278"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356,9</w:t>
            </w:r>
          </w:p>
        </w:tc>
        <w:tc>
          <w:tcPr>
            <w:tcW w:w="1322" w:type="dxa"/>
            <w:noWrap/>
            <w:vAlign w:val="center"/>
            <w:hideMark/>
          </w:tcPr>
          <w:p w14:paraId="6825D938" w14:textId="2557DCFC"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1.521,7</w:t>
            </w:r>
          </w:p>
        </w:tc>
        <w:tc>
          <w:tcPr>
            <w:tcW w:w="1322" w:type="dxa"/>
            <w:noWrap/>
            <w:vAlign w:val="center"/>
            <w:hideMark/>
          </w:tcPr>
          <w:p w14:paraId="0F0B1D3A" w14:textId="4EE49E4C"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23,1</w:t>
            </w:r>
          </w:p>
        </w:tc>
        <w:tc>
          <w:tcPr>
            <w:tcW w:w="1322" w:type="dxa"/>
            <w:noWrap/>
            <w:vAlign w:val="center"/>
            <w:hideMark/>
          </w:tcPr>
          <w:p w14:paraId="386CF26B" w14:textId="297EF4AC"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1.901,6</w:t>
            </w:r>
          </w:p>
        </w:tc>
      </w:tr>
      <w:tr w:rsidR="00BC21FF" w:rsidRPr="00B57D75" w14:paraId="0C426213" w14:textId="77777777" w:rsidTr="00BC21FF">
        <w:trPr>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06104EB1" w14:textId="067D3FD5" w:rsidR="00BC21FF" w:rsidRPr="00B57D75" w:rsidRDefault="00BC21FF" w:rsidP="00BC21FF">
            <w:pPr>
              <w:spacing w:after="0" w:line="240" w:lineRule="auto"/>
              <w:ind w:firstLine="0"/>
              <w:rPr>
                <w:rFonts w:eastAsia="Times New Roman" w:cstheme="minorHAnsi"/>
                <w:color w:val="000000"/>
                <w:sz w:val="20"/>
                <w:szCs w:val="20"/>
                <w:lang w:val="en-GB" w:eastAsia="en-GB"/>
              </w:rPr>
            </w:pPr>
          </w:p>
        </w:tc>
        <w:tc>
          <w:tcPr>
            <w:tcW w:w="1547" w:type="dxa"/>
            <w:noWrap/>
            <w:vAlign w:val="center"/>
            <w:hideMark/>
          </w:tcPr>
          <w:p w14:paraId="3AA79C84" w14:textId="77777777" w:rsidR="00BC21FF" w:rsidRPr="00B57D75" w:rsidRDefault="00BC21FF" w:rsidP="00BC21FF">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proofErr w:type="spellStart"/>
            <w:r w:rsidRPr="00B57D75">
              <w:rPr>
                <w:rFonts w:eastAsia="Times New Roman" w:cstheme="minorHAnsi"/>
                <w:color w:val="000000"/>
                <w:sz w:val="20"/>
                <w:szCs w:val="20"/>
                <w:lang w:val="en-GB" w:eastAsia="en-GB"/>
              </w:rPr>
              <w:t>Variación</w:t>
            </w:r>
            <w:proofErr w:type="spellEnd"/>
            <w:r w:rsidRPr="00B57D75">
              <w:rPr>
                <w:rFonts w:eastAsia="Times New Roman" w:cstheme="minorHAnsi"/>
                <w:color w:val="000000"/>
                <w:sz w:val="20"/>
                <w:szCs w:val="20"/>
                <w:lang w:val="en-GB" w:eastAsia="en-GB"/>
              </w:rPr>
              <w:t xml:space="preserve"> </w:t>
            </w:r>
            <w:proofErr w:type="spellStart"/>
            <w:r w:rsidRPr="00B57D75">
              <w:rPr>
                <w:rFonts w:eastAsia="Times New Roman" w:cstheme="minorHAnsi"/>
                <w:color w:val="000000"/>
                <w:sz w:val="20"/>
                <w:szCs w:val="20"/>
                <w:lang w:val="en-GB" w:eastAsia="en-GB"/>
              </w:rPr>
              <w:t>intermensual</w:t>
            </w:r>
            <w:proofErr w:type="spellEnd"/>
          </w:p>
        </w:tc>
        <w:tc>
          <w:tcPr>
            <w:tcW w:w="1322" w:type="dxa"/>
            <w:noWrap/>
            <w:vAlign w:val="center"/>
            <w:hideMark/>
          </w:tcPr>
          <w:p w14:paraId="4B2C40FB"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-70,1%</w:t>
            </w:r>
          </w:p>
        </w:tc>
        <w:tc>
          <w:tcPr>
            <w:tcW w:w="1322" w:type="dxa"/>
            <w:noWrap/>
            <w:vAlign w:val="center"/>
            <w:hideMark/>
          </w:tcPr>
          <w:p w14:paraId="7BC5AC88"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-68,1%</w:t>
            </w:r>
          </w:p>
        </w:tc>
        <w:tc>
          <w:tcPr>
            <w:tcW w:w="1322" w:type="dxa"/>
            <w:noWrap/>
            <w:vAlign w:val="center"/>
            <w:hideMark/>
          </w:tcPr>
          <w:p w14:paraId="6978C4F4"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-64,7%</w:t>
            </w:r>
          </w:p>
        </w:tc>
        <w:tc>
          <w:tcPr>
            <w:tcW w:w="1322" w:type="dxa"/>
            <w:noWrap/>
            <w:vAlign w:val="center"/>
            <w:hideMark/>
          </w:tcPr>
          <w:p w14:paraId="5928C60A" w14:textId="77777777" w:rsidR="00BC21FF" w:rsidRPr="00B57D75" w:rsidRDefault="00BC21FF" w:rsidP="00BC21FF">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GB" w:eastAsia="en-GB"/>
              </w:rPr>
            </w:pPr>
            <w:r w:rsidRPr="00B57D75">
              <w:rPr>
                <w:rFonts w:eastAsia="Times New Roman" w:cstheme="minorHAnsi"/>
                <w:color w:val="000000"/>
                <w:sz w:val="20"/>
                <w:szCs w:val="20"/>
                <w:lang w:val="en-GB" w:eastAsia="en-GB"/>
              </w:rPr>
              <w:t>-68,5%</w:t>
            </w:r>
          </w:p>
        </w:tc>
      </w:tr>
      <w:tr w:rsidR="00C7741A" w:rsidRPr="00B57D75" w14:paraId="1F718EEE"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hideMark/>
          </w:tcPr>
          <w:p w14:paraId="69B930B7" w14:textId="64D5658B" w:rsidR="00C7741A" w:rsidRPr="00B57D75" w:rsidRDefault="00C7741A" w:rsidP="00E117BB">
            <w:pPr>
              <w:spacing w:after="0" w:line="240" w:lineRule="auto"/>
              <w:ind w:firstLine="0"/>
              <w:rPr>
                <w:rFonts w:eastAsia="Times New Roman" w:cstheme="minorHAnsi"/>
                <w:color w:val="000000"/>
                <w:sz w:val="20"/>
                <w:szCs w:val="20"/>
                <w:lang w:val="es-ES" w:eastAsia="en-GB"/>
              </w:rPr>
            </w:pPr>
            <w:r w:rsidRPr="00B57D75">
              <w:rPr>
                <w:rFonts w:eastAsia="Times New Roman" w:cstheme="minorHAnsi"/>
                <w:color w:val="000000"/>
                <w:sz w:val="20"/>
                <w:szCs w:val="20"/>
                <w:lang w:val="es-ES" w:eastAsia="en-GB"/>
              </w:rPr>
              <w:t>Porcentaje de la tarifa técnica compensada</w:t>
            </w:r>
          </w:p>
        </w:tc>
        <w:tc>
          <w:tcPr>
            <w:tcW w:w="1547" w:type="dxa"/>
            <w:noWrap/>
            <w:vAlign w:val="center"/>
            <w:hideMark/>
          </w:tcPr>
          <w:p w14:paraId="008ED711" w14:textId="398E6A8C" w:rsidR="00C7741A" w:rsidRPr="00B57D75" w:rsidRDefault="00C7741A" w:rsidP="00E117BB">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Febrero-20</w:t>
            </w:r>
          </w:p>
        </w:tc>
        <w:tc>
          <w:tcPr>
            <w:tcW w:w="1322" w:type="dxa"/>
            <w:noWrap/>
            <w:vAlign w:val="center"/>
            <w:hideMark/>
          </w:tcPr>
          <w:p w14:paraId="02DD60F3" w14:textId="77777777" w:rsidR="00C7741A" w:rsidRPr="00B57D75" w:rsidRDefault="00C7741A"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83,1%</w:t>
            </w:r>
          </w:p>
        </w:tc>
        <w:tc>
          <w:tcPr>
            <w:tcW w:w="1322" w:type="dxa"/>
            <w:noWrap/>
            <w:vAlign w:val="center"/>
            <w:hideMark/>
          </w:tcPr>
          <w:p w14:paraId="01DCFF7B" w14:textId="77777777" w:rsidR="00C7741A" w:rsidRPr="00B57D75" w:rsidRDefault="00C7741A"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84,4%</w:t>
            </w:r>
          </w:p>
        </w:tc>
        <w:tc>
          <w:tcPr>
            <w:tcW w:w="1322" w:type="dxa"/>
            <w:noWrap/>
            <w:vAlign w:val="center"/>
            <w:hideMark/>
          </w:tcPr>
          <w:p w14:paraId="1641CF50" w14:textId="77777777" w:rsidR="00C7741A" w:rsidRPr="00B57D75" w:rsidRDefault="00C7741A"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56,9%</w:t>
            </w:r>
          </w:p>
        </w:tc>
        <w:tc>
          <w:tcPr>
            <w:tcW w:w="1322" w:type="dxa"/>
            <w:noWrap/>
            <w:vAlign w:val="center"/>
            <w:hideMark/>
          </w:tcPr>
          <w:p w14:paraId="75BAEF0C" w14:textId="77777777" w:rsidR="00C7741A" w:rsidRPr="00B57D75" w:rsidRDefault="00C7741A"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83,5%</w:t>
            </w:r>
          </w:p>
        </w:tc>
      </w:tr>
      <w:tr w:rsidR="00C7741A" w:rsidRPr="00B57D75" w14:paraId="39FC8AF2" w14:textId="77777777" w:rsidTr="00BC21FF">
        <w:trPr>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628505C5" w14:textId="0E067D96" w:rsidR="00C7741A" w:rsidRPr="00B57D75" w:rsidRDefault="00C7741A" w:rsidP="00E117BB">
            <w:pPr>
              <w:spacing w:after="0" w:line="240" w:lineRule="auto"/>
              <w:ind w:firstLine="0"/>
              <w:rPr>
                <w:rFonts w:eastAsia="Times New Roman" w:cstheme="minorHAnsi"/>
                <w:color w:val="000000"/>
                <w:sz w:val="20"/>
                <w:szCs w:val="20"/>
                <w:lang w:val="en-GB" w:eastAsia="en-GB"/>
              </w:rPr>
            </w:pPr>
          </w:p>
        </w:tc>
        <w:tc>
          <w:tcPr>
            <w:tcW w:w="1547" w:type="dxa"/>
            <w:noWrap/>
            <w:vAlign w:val="center"/>
            <w:hideMark/>
          </w:tcPr>
          <w:p w14:paraId="243B3115" w14:textId="633FADC3" w:rsidR="00C7741A" w:rsidRPr="00B57D75" w:rsidRDefault="00C7741A" w:rsidP="00E117BB">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Junio-20</w:t>
            </w:r>
          </w:p>
        </w:tc>
        <w:tc>
          <w:tcPr>
            <w:tcW w:w="1322" w:type="dxa"/>
            <w:noWrap/>
            <w:vAlign w:val="center"/>
            <w:hideMark/>
          </w:tcPr>
          <w:p w14:paraId="0DD6B64B" w14:textId="77777777" w:rsidR="00C7741A" w:rsidRPr="00B57D75" w:rsidRDefault="00C7741A"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83,0%</w:t>
            </w:r>
          </w:p>
        </w:tc>
        <w:tc>
          <w:tcPr>
            <w:tcW w:w="1322" w:type="dxa"/>
            <w:noWrap/>
            <w:vAlign w:val="center"/>
            <w:hideMark/>
          </w:tcPr>
          <w:p w14:paraId="011C0F8D" w14:textId="77777777" w:rsidR="00C7741A" w:rsidRPr="00B57D75" w:rsidRDefault="00C7741A"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84,2%</w:t>
            </w:r>
          </w:p>
        </w:tc>
        <w:tc>
          <w:tcPr>
            <w:tcW w:w="1322" w:type="dxa"/>
            <w:noWrap/>
            <w:vAlign w:val="center"/>
            <w:hideMark/>
          </w:tcPr>
          <w:p w14:paraId="2C8D3F75" w14:textId="77777777" w:rsidR="00C7741A" w:rsidRPr="00B57D75" w:rsidRDefault="00C7741A"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58,7%</w:t>
            </w:r>
          </w:p>
        </w:tc>
        <w:tc>
          <w:tcPr>
            <w:tcW w:w="1322" w:type="dxa"/>
            <w:noWrap/>
            <w:vAlign w:val="center"/>
            <w:hideMark/>
          </w:tcPr>
          <w:p w14:paraId="41C83DED" w14:textId="77777777" w:rsidR="00C7741A" w:rsidRPr="00B57D75" w:rsidRDefault="00C7741A"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83,3%</w:t>
            </w:r>
          </w:p>
        </w:tc>
      </w:tr>
      <w:tr w:rsidR="00E117BB" w:rsidRPr="00B57D75" w14:paraId="1E9C528F"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hideMark/>
          </w:tcPr>
          <w:p w14:paraId="286B3FFB" w14:textId="259E2FA3" w:rsidR="00E117BB" w:rsidRPr="00B57D75" w:rsidRDefault="00E117BB" w:rsidP="00E117BB">
            <w:pPr>
              <w:spacing w:after="0" w:line="240" w:lineRule="auto"/>
              <w:ind w:firstLine="0"/>
              <w:rPr>
                <w:rFonts w:eastAsia="Times New Roman" w:cstheme="minorHAnsi"/>
                <w:color w:val="000000"/>
                <w:sz w:val="20"/>
                <w:szCs w:val="20"/>
                <w:lang w:val="en-GB" w:eastAsia="en-GB"/>
              </w:rPr>
            </w:pPr>
            <w:proofErr w:type="spellStart"/>
            <w:r w:rsidRPr="00B57D75">
              <w:rPr>
                <w:rFonts w:eastAsia="Times New Roman" w:cstheme="minorHAnsi"/>
                <w:color w:val="000000"/>
                <w:sz w:val="20"/>
                <w:szCs w:val="20"/>
                <w:lang w:val="en-GB" w:eastAsia="en-GB"/>
              </w:rPr>
              <w:t>Cantidad</w:t>
            </w:r>
            <w:proofErr w:type="spellEnd"/>
            <w:r w:rsidRPr="00B57D75">
              <w:rPr>
                <w:rFonts w:eastAsia="Times New Roman" w:cstheme="minorHAnsi"/>
                <w:color w:val="000000"/>
                <w:sz w:val="20"/>
                <w:szCs w:val="20"/>
                <w:lang w:val="en-GB" w:eastAsia="en-GB"/>
              </w:rPr>
              <w:t xml:space="preserve"> </w:t>
            </w:r>
            <w:proofErr w:type="spellStart"/>
            <w:r w:rsidRPr="00B57D75">
              <w:rPr>
                <w:rFonts w:eastAsia="Times New Roman" w:cstheme="minorHAnsi"/>
                <w:color w:val="000000"/>
                <w:sz w:val="20"/>
                <w:szCs w:val="20"/>
                <w:lang w:val="en-GB" w:eastAsia="en-GB"/>
              </w:rPr>
              <w:t>Boletos</w:t>
            </w:r>
            <w:proofErr w:type="spellEnd"/>
            <w:r w:rsidR="00092328" w:rsidRPr="00B57D75">
              <w:rPr>
                <w:rFonts w:eastAsia="Times New Roman" w:cstheme="minorHAnsi"/>
                <w:color w:val="000000"/>
                <w:sz w:val="20"/>
                <w:szCs w:val="20"/>
                <w:lang w:val="en-GB" w:eastAsia="en-GB"/>
              </w:rPr>
              <w:t xml:space="preserve"> (</w:t>
            </w:r>
            <w:proofErr w:type="spellStart"/>
            <w:r w:rsidR="00092328" w:rsidRPr="00B57D75">
              <w:rPr>
                <w:rFonts w:eastAsia="Times New Roman" w:cstheme="minorHAnsi"/>
                <w:color w:val="000000"/>
                <w:sz w:val="20"/>
                <w:szCs w:val="20"/>
                <w:lang w:val="en-GB" w:eastAsia="en-GB"/>
              </w:rPr>
              <w:t>en</w:t>
            </w:r>
            <w:proofErr w:type="spellEnd"/>
            <w:r w:rsidR="00092328" w:rsidRPr="00B57D75">
              <w:rPr>
                <w:rFonts w:eastAsia="Times New Roman" w:cstheme="minorHAnsi"/>
                <w:color w:val="000000"/>
                <w:sz w:val="20"/>
                <w:szCs w:val="20"/>
                <w:lang w:val="en-GB" w:eastAsia="en-GB"/>
              </w:rPr>
              <w:t xml:space="preserve"> </w:t>
            </w:r>
            <w:proofErr w:type="spellStart"/>
            <w:r w:rsidR="00092328" w:rsidRPr="00B57D75">
              <w:rPr>
                <w:rFonts w:eastAsia="Times New Roman" w:cstheme="minorHAnsi"/>
                <w:color w:val="000000"/>
                <w:sz w:val="20"/>
                <w:szCs w:val="20"/>
                <w:lang w:val="en-GB" w:eastAsia="en-GB"/>
              </w:rPr>
              <w:t>millones</w:t>
            </w:r>
            <w:proofErr w:type="spellEnd"/>
            <w:r w:rsidR="00092328" w:rsidRPr="00B57D75">
              <w:rPr>
                <w:rFonts w:eastAsia="Times New Roman" w:cstheme="minorHAnsi"/>
                <w:color w:val="000000"/>
                <w:sz w:val="20"/>
                <w:szCs w:val="20"/>
                <w:lang w:val="en-GB" w:eastAsia="en-GB"/>
              </w:rPr>
              <w:t>)</w:t>
            </w:r>
          </w:p>
        </w:tc>
        <w:tc>
          <w:tcPr>
            <w:tcW w:w="1547" w:type="dxa"/>
            <w:noWrap/>
            <w:vAlign w:val="center"/>
            <w:hideMark/>
          </w:tcPr>
          <w:p w14:paraId="35824066" w14:textId="1B7697B3" w:rsidR="00E117BB" w:rsidRPr="00B57D75" w:rsidRDefault="00E117BB" w:rsidP="00E117BB">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Febrero-20</w:t>
            </w:r>
          </w:p>
        </w:tc>
        <w:tc>
          <w:tcPr>
            <w:tcW w:w="1322" w:type="dxa"/>
            <w:noWrap/>
            <w:vAlign w:val="center"/>
            <w:hideMark/>
          </w:tcPr>
          <w:p w14:paraId="60ED5614" w14:textId="42869D0E"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18,2</w:t>
            </w:r>
          </w:p>
        </w:tc>
        <w:tc>
          <w:tcPr>
            <w:tcW w:w="1322" w:type="dxa"/>
            <w:noWrap/>
            <w:vAlign w:val="center"/>
            <w:hideMark/>
          </w:tcPr>
          <w:p w14:paraId="0C0C32FB" w14:textId="68F37B75"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64,6</w:t>
            </w:r>
          </w:p>
        </w:tc>
        <w:tc>
          <w:tcPr>
            <w:tcW w:w="1322" w:type="dxa"/>
            <w:noWrap/>
            <w:vAlign w:val="center"/>
            <w:hideMark/>
          </w:tcPr>
          <w:p w14:paraId="4B0C885F" w14:textId="671FDDD3"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2,0</w:t>
            </w:r>
          </w:p>
        </w:tc>
        <w:tc>
          <w:tcPr>
            <w:tcW w:w="1322" w:type="dxa"/>
            <w:noWrap/>
            <w:vAlign w:val="center"/>
            <w:hideMark/>
          </w:tcPr>
          <w:p w14:paraId="3AD87F66" w14:textId="7B270CAD" w:rsidR="00E117BB" w:rsidRPr="00B57D75" w:rsidRDefault="00E117BB" w:rsidP="00E117BB">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84,8</w:t>
            </w:r>
          </w:p>
        </w:tc>
      </w:tr>
      <w:tr w:rsidR="00E117BB" w:rsidRPr="00B57D75" w14:paraId="506E6AEF" w14:textId="77777777" w:rsidTr="00BC21FF">
        <w:trPr>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6E17FE01" w14:textId="241E3D83" w:rsidR="00E117BB" w:rsidRPr="00B57D75" w:rsidRDefault="00E117BB" w:rsidP="00E117BB">
            <w:pPr>
              <w:spacing w:after="0" w:line="240" w:lineRule="auto"/>
              <w:ind w:firstLine="0"/>
              <w:rPr>
                <w:rFonts w:eastAsia="Times New Roman" w:cstheme="minorHAnsi"/>
                <w:color w:val="000000"/>
                <w:sz w:val="20"/>
                <w:szCs w:val="20"/>
                <w:lang w:val="en-GB" w:eastAsia="en-GB"/>
              </w:rPr>
            </w:pPr>
          </w:p>
        </w:tc>
        <w:tc>
          <w:tcPr>
            <w:tcW w:w="1547" w:type="dxa"/>
            <w:noWrap/>
            <w:vAlign w:val="center"/>
            <w:hideMark/>
          </w:tcPr>
          <w:p w14:paraId="29786633" w14:textId="1DFCF7C5" w:rsidR="00E117BB" w:rsidRPr="00B57D75" w:rsidRDefault="00E117BB" w:rsidP="00E117BB">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Junio-20</w:t>
            </w:r>
          </w:p>
        </w:tc>
        <w:tc>
          <w:tcPr>
            <w:tcW w:w="1322" w:type="dxa"/>
            <w:noWrap/>
            <w:vAlign w:val="center"/>
            <w:hideMark/>
          </w:tcPr>
          <w:p w14:paraId="0AF5737E" w14:textId="78E4ADC9"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5,3</w:t>
            </w:r>
          </w:p>
        </w:tc>
        <w:tc>
          <w:tcPr>
            <w:tcW w:w="1322" w:type="dxa"/>
            <w:noWrap/>
            <w:vAlign w:val="center"/>
            <w:hideMark/>
          </w:tcPr>
          <w:p w14:paraId="055C6EC3" w14:textId="331CEEC4"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21,1</w:t>
            </w:r>
          </w:p>
        </w:tc>
        <w:tc>
          <w:tcPr>
            <w:tcW w:w="1322" w:type="dxa"/>
            <w:noWrap/>
            <w:vAlign w:val="center"/>
            <w:hideMark/>
          </w:tcPr>
          <w:p w14:paraId="4611D4FA" w14:textId="4A17AF65"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0,9</w:t>
            </w:r>
          </w:p>
        </w:tc>
        <w:tc>
          <w:tcPr>
            <w:tcW w:w="1322" w:type="dxa"/>
            <w:noWrap/>
            <w:vAlign w:val="center"/>
            <w:hideMark/>
          </w:tcPr>
          <w:p w14:paraId="3524661E" w14:textId="585F04F8" w:rsidR="00E117BB" w:rsidRPr="00B57D75" w:rsidRDefault="00E117BB" w:rsidP="00E117BB">
            <w:pPr>
              <w:spacing w:after="0"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27,2</w:t>
            </w:r>
          </w:p>
        </w:tc>
      </w:tr>
      <w:tr w:rsidR="00E117BB" w:rsidRPr="00B57D75" w14:paraId="01E72B80" w14:textId="77777777" w:rsidTr="00BC21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980" w:type="dxa"/>
            <w:vMerge/>
            <w:vAlign w:val="center"/>
            <w:hideMark/>
          </w:tcPr>
          <w:p w14:paraId="37092B17" w14:textId="504E8AAA" w:rsidR="00E117BB" w:rsidRPr="00B57D75" w:rsidRDefault="00E117BB" w:rsidP="00BC21FF">
            <w:pPr>
              <w:spacing w:after="0" w:line="240" w:lineRule="auto"/>
              <w:ind w:firstLine="0"/>
              <w:rPr>
                <w:rFonts w:eastAsia="Times New Roman" w:cstheme="minorHAnsi"/>
                <w:color w:val="000000"/>
                <w:sz w:val="20"/>
                <w:szCs w:val="20"/>
                <w:lang w:val="en-GB" w:eastAsia="en-GB"/>
              </w:rPr>
            </w:pPr>
          </w:p>
        </w:tc>
        <w:tc>
          <w:tcPr>
            <w:tcW w:w="1547" w:type="dxa"/>
            <w:noWrap/>
            <w:vAlign w:val="center"/>
            <w:hideMark/>
          </w:tcPr>
          <w:p w14:paraId="75C6EA24" w14:textId="77777777" w:rsidR="00E117BB" w:rsidRPr="00B57D75" w:rsidRDefault="00E117BB" w:rsidP="00BC21FF">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proofErr w:type="spellStart"/>
            <w:r w:rsidRPr="00B57D75">
              <w:rPr>
                <w:rFonts w:eastAsia="Times New Roman" w:cstheme="minorHAnsi"/>
                <w:b/>
                <w:bCs/>
                <w:color w:val="000000"/>
                <w:sz w:val="20"/>
                <w:szCs w:val="20"/>
                <w:lang w:val="en-GB" w:eastAsia="en-GB"/>
              </w:rPr>
              <w:t>Variación</w:t>
            </w:r>
            <w:proofErr w:type="spellEnd"/>
            <w:r w:rsidRPr="00B57D75">
              <w:rPr>
                <w:rFonts w:eastAsia="Times New Roman" w:cstheme="minorHAnsi"/>
                <w:b/>
                <w:bCs/>
                <w:color w:val="000000"/>
                <w:sz w:val="20"/>
                <w:szCs w:val="20"/>
                <w:lang w:val="en-GB" w:eastAsia="en-GB"/>
              </w:rPr>
              <w:t xml:space="preserve"> </w:t>
            </w:r>
            <w:proofErr w:type="spellStart"/>
            <w:r w:rsidRPr="00B57D75">
              <w:rPr>
                <w:rFonts w:eastAsia="Times New Roman" w:cstheme="minorHAnsi"/>
                <w:b/>
                <w:bCs/>
                <w:color w:val="000000"/>
                <w:sz w:val="20"/>
                <w:szCs w:val="20"/>
                <w:lang w:val="en-GB" w:eastAsia="en-GB"/>
              </w:rPr>
              <w:t>intermensual</w:t>
            </w:r>
            <w:proofErr w:type="spellEnd"/>
          </w:p>
        </w:tc>
        <w:tc>
          <w:tcPr>
            <w:tcW w:w="1322" w:type="dxa"/>
            <w:noWrap/>
            <w:vAlign w:val="center"/>
            <w:hideMark/>
          </w:tcPr>
          <w:p w14:paraId="6B1170A5" w14:textId="77777777" w:rsidR="00E117BB" w:rsidRPr="00B57D75" w:rsidRDefault="00E117BB"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-71,0%</w:t>
            </w:r>
          </w:p>
        </w:tc>
        <w:tc>
          <w:tcPr>
            <w:tcW w:w="1322" w:type="dxa"/>
            <w:noWrap/>
            <w:vAlign w:val="center"/>
            <w:hideMark/>
          </w:tcPr>
          <w:p w14:paraId="171B56AA" w14:textId="77777777" w:rsidR="00E117BB" w:rsidRPr="00B57D75" w:rsidRDefault="00E117BB"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-67,4%</w:t>
            </w:r>
          </w:p>
        </w:tc>
        <w:tc>
          <w:tcPr>
            <w:tcW w:w="1322" w:type="dxa"/>
            <w:noWrap/>
            <w:vAlign w:val="center"/>
            <w:hideMark/>
          </w:tcPr>
          <w:p w14:paraId="0ED880D1" w14:textId="77777777" w:rsidR="00E117BB" w:rsidRPr="00B57D75" w:rsidRDefault="00E117BB"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-56,1%</w:t>
            </w:r>
          </w:p>
        </w:tc>
        <w:tc>
          <w:tcPr>
            <w:tcW w:w="1322" w:type="dxa"/>
            <w:noWrap/>
            <w:vAlign w:val="center"/>
            <w:hideMark/>
          </w:tcPr>
          <w:p w14:paraId="22D2893A" w14:textId="77777777" w:rsidR="00E117BB" w:rsidRPr="00B57D75" w:rsidRDefault="00E117BB" w:rsidP="00BC21FF">
            <w:pPr>
              <w:spacing w:after="0"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n-GB" w:eastAsia="en-GB"/>
              </w:rPr>
            </w:pPr>
            <w:r w:rsidRPr="00B57D75">
              <w:rPr>
                <w:rFonts w:eastAsia="Times New Roman" w:cstheme="minorHAnsi"/>
                <w:b/>
                <w:bCs/>
                <w:color w:val="000000"/>
                <w:sz w:val="20"/>
                <w:szCs w:val="20"/>
                <w:lang w:val="en-GB" w:eastAsia="en-GB"/>
              </w:rPr>
              <w:t>-67,9%</w:t>
            </w:r>
          </w:p>
        </w:tc>
      </w:tr>
    </w:tbl>
    <w:p w14:paraId="09E8052A" w14:textId="77777777" w:rsidR="007D27E4" w:rsidRDefault="007D27E4" w:rsidP="007D27E4">
      <w:pPr>
        <w:widowControl w:val="0"/>
        <w:spacing w:after="0" w:line="240" w:lineRule="atLeast"/>
        <w:ind w:firstLine="0"/>
        <w:jc w:val="center"/>
        <w:rPr>
          <w:rFonts w:eastAsia="Calibri" w:cs="Times New Roman"/>
          <w:sz w:val="16"/>
          <w:szCs w:val="16"/>
          <w:lang w:eastAsia="es-ES"/>
        </w:rPr>
      </w:pPr>
      <w:r w:rsidRPr="00B57D75">
        <w:rPr>
          <w:rFonts w:eastAsia="Calibri" w:cs="Times New Roman"/>
          <w:sz w:val="16"/>
          <w:szCs w:val="16"/>
          <w:lang w:eastAsia="es-ES"/>
        </w:rPr>
        <w:t xml:space="preserve">Fuente: Elaboración propia en base a datos del sitio web </w:t>
      </w:r>
      <w:hyperlink r:id="rId16" w:history="1">
        <w:r w:rsidRPr="00B57D75">
          <w:rPr>
            <w:rStyle w:val="Hipervnculo"/>
            <w:rFonts w:eastAsia="Calibri" w:cs="Times New Roman"/>
            <w:sz w:val="16"/>
            <w:szCs w:val="16"/>
            <w:lang w:eastAsia="es-ES"/>
          </w:rPr>
          <w:t>www.transporte.gob.ar</w:t>
        </w:r>
      </w:hyperlink>
      <w:r w:rsidRPr="00B57D75">
        <w:rPr>
          <w:rFonts w:eastAsia="Calibri" w:cs="Times New Roman"/>
          <w:sz w:val="16"/>
          <w:szCs w:val="16"/>
          <w:lang w:eastAsia="es-ES"/>
        </w:rPr>
        <w:t xml:space="preserve"> de la Sección Subsidios por Grupos Tarifarios</w:t>
      </w:r>
    </w:p>
    <w:p w14:paraId="6CA336D7" w14:textId="22245000" w:rsidR="00643AC0" w:rsidRDefault="00643AC0" w:rsidP="00A313AB">
      <w:pPr>
        <w:widowControl w:val="0"/>
        <w:spacing w:line="240" w:lineRule="atLeast"/>
        <w:ind w:firstLine="0"/>
        <w:jc w:val="both"/>
        <w:rPr>
          <w:rFonts w:eastAsia="Calibri" w:cs="Times New Roman"/>
          <w:sz w:val="24"/>
          <w:szCs w:val="24"/>
          <w:lang w:eastAsia="es-ES"/>
        </w:rPr>
      </w:pPr>
    </w:p>
    <w:p w14:paraId="6D9B5F14" w14:textId="77777777" w:rsidR="006C1CFB" w:rsidRPr="00BB4158" w:rsidRDefault="006C1CFB" w:rsidP="006C1CFB">
      <w:pPr>
        <w:pStyle w:val="Ttulo3"/>
        <w:numPr>
          <w:ilvl w:val="2"/>
          <w:numId w:val="3"/>
        </w:numPr>
        <w:spacing w:before="200" w:after="200" w:line="360" w:lineRule="auto"/>
        <w:ind w:left="284" w:hanging="284"/>
        <w:jc w:val="both"/>
        <w:rPr>
          <w:rFonts w:asciiTheme="minorHAnsi" w:hAnsiTheme="minorHAnsi" w:cs="Arial"/>
          <w:color w:val="auto"/>
          <w:lang w:val="es-ES_tradnl"/>
        </w:rPr>
      </w:pPr>
      <w:bookmarkStart w:id="0" w:name="_Toc422380616"/>
      <w:r>
        <w:rPr>
          <w:rFonts w:asciiTheme="minorHAnsi" w:hAnsiTheme="minorHAnsi"/>
          <w:b/>
          <w:color w:val="auto"/>
        </w:rPr>
        <w:t>Determinación de</w:t>
      </w:r>
      <w:r w:rsidRPr="00BB4158">
        <w:rPr>
          <w:rFonts w:asciiTheme="minorHAnsi" w:hAnsiTheme="minorHAnsi"/>
          <w:b/>
          <w:color w:val="auto"/>
        </w:rPr>
        <w:t xml:space="preserve"> los Subsidios al AMBA por Corredores de Transporte</w:t>
      </w:r>
      <w:bookmarkEnd w:id="0"/>
    </w:p>
    <w:p w14:paraId="7C9B76A0" w14:textId="77777777" w:rsidR="006C1CFB" w:rsidRPr="00C37C05" w:rsidRDefault="006C1CFB" w:rsidP="006C1CFB">
      <w:pPr>
        <w:spacing w:line="360" w:lineRule="auto"/>
        <w:jc w:val="both"/>
        <w:rPr>
          <w:rFonts w:eastAsia="Calibri" w:cs="Times New Roman"/>
          <w:sz w:val="24"/>
          <w:szCs w:val="24"/>
          <w:lang w:eastAsia="es-ES"/>
        </w:rPr>
      </w:pPr>
      <w:r>
        <w:rPr>
          <w:sz w:val="24"/>
          <w:szCs w:val="24"/>
          <w:lang w:eastAsia="es-ES"/>
        </w:rPr>
        <w:t xml:space="preserve">Para obtener los subsidios en el AMBA por corredor de transporte, se adoptó el criterio de corredores establecidos en la </w:t>
      </w:r>
      <w:r>
        <w:rPr>
          <w:rFonts w:eastAsia="Calibri" w:cs="Times New Roman"/>
          <w:sz w:val="24"/>
          <w:szCs w:val="24"/>
          <w:lang w:eastAsia="es-ES"/>
        </w:rPr>
        <w:t>Investigación de Transporte Urbano Público de Buenos Aires</w:t>
      </w:r>
      <w:r>
        <w:rPr>
          <w:rStyle w:val="Refdenotaalpie"/>
          <w:rFonts w:eastAsia="Calibri" w:cs="Times New Roman"/>
          <w:sz w:val="24"/>
          <w:szCs w:val="24"/>
          <w:lang w:eastAsia="es-ES"/>
        </w:rPr>
        <w:footnoteReference w:id="1"/>
      </w:r>
      <w:r>
        <w:rPr>
          <w:rFonts w:eastAsia="Calibri" w:cs="Times New Roman"/>
          <w:sz w:val="24"/>
          <w:szCs w:val="24"/>
          <w:lang w:eastAsia="es-ES"/>
        </w:rPr>
        <w:t xml:space="preserve"> (en adelante, INTRUPUBA). </w:t>
      </w:r>
      <w:r>
        <w:rPr>
          <w:sz w:val="24"/>
          <w:szCs w:val="24"/>
          <w:lang w:eastAsia="es-ES"/>
        </w:rPr>
        <w:t xml:space="preserve">Dicho criterio, fue realizado en función de los principales patrones de circulación de las líneas de colectivo y de la orientación de las principales vías de comunicación (red principal de autopistas, rutas y avenidas), las que en su mayoría convergen hacia el centro de la CABA. </w:t>
      </w:r>
    </w:p>
    <w:p w14:paraId="7322DBC5" w14:textId="77777777" w:rsidR="006C1CFB" w:rsidRDefault="006C1CFB" w:rsidP="006C1CFB">
      <w:pPr>
        <w:jc w:val="both"/>
        <w:rPr>
          <w:sz w:val="24"/>
          <w:szCs w:val="24"/>
          <w:lang w:eastAsia="es-ES"/>
        </w:rPr>
      </w:pPr>
      <w:r>
        <w:rPr>
          <w:sz w:val="24"/>
          <w:szCs w:val="24"/>
          <w:lang w:eastAsia="es-ES"/>
        </w:rPr>
        <w:t>De este modo, en la INTRUPUBA se obtuvieron 7 corredores de transporte:</w:t>
      </w:r>
    </w:p>
    <w:p w14:paraId="1B561A51" w14:textId="77777777" w:rsidR="006C1CFB" w:rsidRPr="000C374E" w:rsidRDefault="006C1CFB" w:rsidP="006C1CFB">
      <w:pPr>
        <w:pStyle w:val="Prrafodelista"/>
        <w:numPr>
          <w:ilvl w:val="0"/>
          <w:numId w:val="4"/>
        </w:numPr>
        <w:spacing w:line="360" w:lineRule="auto"/>
        <w:ind w:left="714" w:hanging="357"/>
        <w:jc w:val="both"/>
        <w:rPr>
          <w:sz w:val="24"/>
          <w:szCs w:val="24"/>
          <w:lang w:eastAsia="es-ES"/>
        </w:rPr>
      </w:pPr>
      <w:r w:rsidRPr="000C374E">
        <w:rPr>
          <w:sz w:val="24"/>
          <w:szCs w:val="24"/>
          <w:u w:val="single"/>
          <w:lang w:eastAsia="es-ES"/>
        </w:rPr>
        <w:t>Área Corredor Norte</w:t>
      </w:r>
      <w:r w:rsidRPr="000C374E">
        <w:rPr>
          <w:sz w:val="24"/>
          <w:szCs w:val="24"/>
          <w:lang w:eastAsia="es-ES"/>
        </w:rPr>
        <w:t>: eje Ferrocarril B. Mitre, Autopista Panamericana y Avenida Maipú – Santa Fe – Del Libertador.</w:t>
      </w:r>
    </w:p>
    <w:p w14:paraId="513C51BE" w14:textId="77777777" w:rsidR="006C1CFB" w:rsidRDefault="006C1CFB" w:rsidP="006C1CFB">
      <w:pPr>
        <w:pStyle w:val="Prrafodelista"/>
        <w:numPr>
          <w:ilvl w:val="0"/>
          <w:numId w:val="4"/>
        </w:numPr>
        <w:spacing w:line="360" w:lineRule="auto"/>
        <w:ind w:left="714" w:hanging="357"/>
        <w:jc w:val="both"/>
        <w:rPr>
          <w:sz w:val="24"/>
          <w:szCs w:val="24"/>
          <w:lang w:eastAsia="es-ES"/>
        </w:rPr>
      </w:pPr>
      <w:r w:rsidRPr="00E07DE9">
        <w:rPr>
          <w:sz w:val="24"/>
          <w:szCs w:val="24"/>
          <w:u w:val="single"/>
          <w:lang w:eastAsia="es-ES"/>
        </w:rPr>
        <w:t>Área Corredor Noroeste:</w:t>
      </w:r>
      <w:r>
        <w:rPr>
          <w:sz w:val="24"/>
          <w:szCs w:val="24"/>
          <w:lang w:eastAsia="es-ES"/>
        </w:rPr>
        <w:t xml:space="preserve"> eje Ferrocarril Urquiza, San Martín y Belgrano Norte, Ruta 8 y Ruta 201.</w:t>
      </w:r>
    </w:p>
    <w:p w14:paraId="1218C855" w14:textId="77777777" w:rsidR="006C1CFB" w:rsidRPr="000C374E" w:rsidRDefault="006C1CFB" w:rsidP="006C1CFB">
      <w:pPr>
        <w:pStyle w:val="Prrafodelista"/>
        <w:numPr>
          <w:ilvl w:val="0"/>
          <w:numId w:val="4"/>
        </w:numPr>
        <w:spacing w:line="360" w:lineRule="auto"/>
        <w:ind w:left="714" w:hanging="357"/>
        <w:jc w:val="both"/>
        <w:rPr>
          <w:sz w:val="24"/>
          <w:szCs w:val="24"/>
          <w:u w:val="single"/>
          <w:lang w:eastAsia="es-ES"/>
        </w:rPr>
      </w:pPr>
      <w:r w:rsidRPr="00E07DE9">
        <w:rPr>
          <w:sz w:val="24"/>
          <w:szCs w:val="24"/>
          <w:u w:val="single"/>
          <w:lang w:eastAsia="es-ES"/>
        </w:rPr>
        <w:lastRenderedPageBreak/>
        <w:t>Área Corredor Oeste:</w:t>
      </w:r>
      <w:r w:rsidRPr="00E07DE9">
        <w:rPr>
          <w:sz w:val="24"/>
          <w:szCs w:val="24"/>
          <w:lang w:eastAsia="es-ES"/>
        </w:rPr>
        <w:t xml:space="preserve"> </w:t>
      </w:r>
      <w:r>
        <w:rPr>
          <w:sz w:val="24"/>
          <w:szCs w:val="24"/>
          <w:lang w:eastAsia="es-ES"/>
        </w:rPr>
        <w:t>eje Ferrocarril Sarmiento, Autopista del Oeste – Ruta 7 – Ruta 200.</w:t>
      </w:r>
    </w:p>
    <w:p w14:paraId="5BCA2458" w14:textId="77777777" w:rsidR="006C1CFB" w:rsidRPr="000C374E" w:rsidRDefault="006C1CFB" w:rsidP="006C1CFB">
      <w:pPr>
        <w:pStyle w:val="Prrafodelista"/>
        <w:numPr>
          <w:ilvl w:val="0"/>
          <w:numId w:val="4"/>
        </w:numPr>
        <w:spacing w:line="360" w:lineRule="auto"/>
        <w:ind w:left="714" w:hanging="357"/>
        <w:jc w:val="both"/>
        <w:rPr>
          <w:sz w:val="24"/>
          <w:szCs w:val="24"/>
          <w:u w:val="single"/>
          <w:lang w:eastAsia="es-ES"/>
        </w:rPr>
      </w:pPr>
      <w:r>
        <w:rPr>
          <w:sz w:val="24"/>
          <w:szCs w:val="24"/>
          <w:u w:val="single"/>
          <w:lang w:eastAsia="es-ES"/>
        </w:rPr>
        <w:t>Área Corredor Sudoeste:</w:t>
      </w:r>
      <w:r>
        <w:rPr>
          <w:sz w:val="24"/>
          <w:szCs w:val="24"/>
          <w:lang w:eastAsia="es-ES"/>
        </w:rPr>
        <w:t xml:space="preserve"> eje Belgrano Sur y Roca ramal Ezeiza, Autopista Ricchieri – Ruta 205.</w:t>
      </w:r>
    </w:p>
    <w:p w14:paraId="74E11809" w14:textId="77777777" w:rsidR="006C1CFB" w:rsidRPr="000C374E" w:rsidRDefault="006C1CFB" w:rsidP="006C1CFB">
      <w:pPr>
        <w:pStyle w:val="Prrafodelista"/>
        <w:numPr>
          <w:ilvl w:val="0"/>
          <w:numId w:val="4"/>
        </w:numPr>
        <w:spacing w:line="360" w:lineRule="auto"/>
        <w:ind w:left="714" w:hanging="357"/>
        <w:jc w:val="both"/>
        <w:rPr>
          <w:sz w:val="24"/>
          <w:szCs w:val="24"/>
          <w:u w:val="single"/>
          <w:lang w:eastAsia="es-ES"/>
        </w:rPr>
      </w:pPr>
      <w:r>
        <w:rPr>
          <w:sz w:val="24"/>
          <w:szCs w:val="24"/>
          <w:u w:val="single"/>
          <w:lang w:eastAsia="es-ES"/>
        </w:rPr>
        <w:t xml:space="preserve">Área Corredor Sur: </w:t>
      </w:r>
      <w:r>
        <w:rPr>
          <w:sz w:val="24"/>
          <w:szCs w:val="24"/>
          <w:lang w:eastAsia="es-ES"/>
        </w:rPr>
        <w:t>eje Ferrocarril Roca ramal Glew, Ruta 210 – Ruta 53.</w:t>
      </w:r>
    </w:p>
    <w:p w14:paraId="7A6409D3" w14:textId="77777777" w:rsidR="006C1CFB" w:rsidRPr="000C374E" w:rsidRDefault="006C1CFB" w:rsidP="006C1CFB">
      <w:pPr>
        <w:pStyle w:val="Prrafodelista"/>
        <w:numPr>
          <w:ilvl w:val="0"/>
          <w:numId w:val="4"/>
        </w:numPr>
        <w:spacing w:line="360" w:lineRule="auto"/>
        <w:ind w:left="714" w:hanging="357"/>
        <w:jc w:val="both"/>
        <w:rPr>
          <w:sz w:val="24"/>
          <w:szCs w:val="24"/>
          <w:u w:val="single"/>
          <w:lang w:eastAsia="es-ES"/>
        </w:rPr>
      </w:pPr>
      <w:r>
        <w:rPr>
          <w:sz w:val="24"/>
          <w:szCs w:val="24"/>
          <w:u w:val="single"/>
          <w:lang w:eastAsia="es-ES"/>
        </w:rPr>
        <w:t>Área Corredor Sudeste:</w:t>
      </w:r>
      <w:r w:rsidRPr="000C374E">
        <w:rPr>
          <w:sz w:val="24"/>
          <w:szCs w:val="24"/>
          <w:lang w:eastAsia="es-ES"/>
        </w:rPr>
        <w:t xml:space="preserve"> </w:t>
      </w:r>
      <w:r>
        <w:rPr>
          <w:sz w:val="24"/>
          <w:szCs w:val="24"/>
          <w:lang w:eastAsia="es-ES"/>
        </w:rPr>
        <w:t>eje Ferrocarril Roca ramal a La Plata, Avenida Mitre – Camino General Belgrano Ruta 14 – Ruta 36.</w:t>
      </w:r>
    </w:p>
    <w:p w14:paraId="6AD9EDE5" w14:textId="77777777" w:rsidR="006C1CFB" w:rsidRPr="004F2072" w:rsidRDefault="006C1CFB" w:rsidP="006C1CFB">
      <w:pPr>
        <w:pStyle w:val="Prrafodelista"/>
        <w:numPr>
          <w:ilvl w:val="0"/>
          <w:numId w:val="4"/>
        </w:numPr>
        <w:spacing w:line="360" w:lineRule="auto"/>
        <w:ind w:left="714" w:hanging="357"/>
        <w:jc w:val="both"/>
        <w:rPr>
          <w:sz w:val="24"/>
          <w:szCs w:val="24"/>
          <w:u w:val="single"/>
          <w:lang w:eastAsia="es-ES"/>
        </w:rPr>
      </w:pPr>
      <w:r>
        <w:rPr>
          <w:sz w:val="24"/>
          <w:szCs w:val="24"/>
          <w:u w:val="single"/>
          <w:lang w:eastAsia="es-ES"/>
        </w:rPr>
        <w:t>Área Corredor Centro:</w:t>
      </w:r>
      <w:r>
        <w:rPr>
          <w:sz w:val="24"/>
          <w:szCs w:val="24"/>
          <w:lang w:eastAsia="es-ES"/>
        </w:rPr>
        <w:t xml:space="preserve"> Recoleta, Retiro, San Nicolás, Balvanera, Montserrat, Almagro, Boedo, San Cristóbal, Constitución, parte de Parque Patricios, parte de Palermo y parte de Villa Crespo.</w:t>
      </w:r>
    </w:p>
    <w:p w14:paraId="458848FA" w14:textId="77777777" w:rsidR="006C1CFB" w:rsidRDefault="006C1CFB" w:rsidP="006C1CFB">
      <w:pPr>
        <w:spacing w:line="360" w:lineRule="auto"/>
        <w:jc w:val="both"/>
        <w:rPr>
          <w:sz w:val="24"/>
          <w:szCs w:val="24"/>
          <w:lang w:eastAsia="es-ES"/>
        </w:rPr>
      </w:pPr>
      <w:r>
        <w:rPr>
          <w:sz w:val="24"/>
          <w:szCs w:val="24"/>
          <w:lang w:eastAsia="es-ES"/>
        </w:rPr>
        <w:t xml:space="preserve">Asimismo, </w:t>
      </w:r>
      <w:r w:rsidRPr="00C55FB9">
        <w:rPr>
          <w:sz w:val="24"/>
          <w:szCs w:val="24"/>
          <w:lang w:eastAsia="es-ES"/>
        </w:rPr>
        <w:t>para relacionar y obtener conclusiones</w:t>
      </w:r>
      <w:r>
        <w:rPr>
          <w:sz w:val="24"/>
          <w:szCs w:val="24"/>
          <w:lang w:eastAsia="es-ES"/>
        </w:rPr>
        <w:t xml:space="preserve"> sobre los subsidios por corredor en el AMBA, además del criterio de corredores también se seguirá el criterio geométrico empleado en la INTRUPUBA, para lo cual se definieron sucesivos anillos concéntricos. </w:t>
      </w:r>
    </w:p>
    <w:p w14:paraId="1864701F" w14:textId="77777777" w:rsidR="006C1CFB" w:rsidRDefault="006C1CFB" w:rsidP="006C1CFB">
      <w:pPr>
        <w:spacing w:after="0"/>
        <w:ind w:firstLine="0"/>
        <w:jc w:val="center"/>
        <w:rPr>
          <w:b/>
          <w:sz w:val="24"/>
          <w:szCs w:val="24"/>
          <w:lang w:eastAsia="es-ES"/>
        </w:rPr>
      </w:pPr>
      <w:r>
        <w:rPr>
          <w:b/>
          <w:sz w:val="24"/>
          <w:szCs w:val="24"/>
          <w:lang w:eastAsia="es-ES"/>
        </w:rPr>
        <w:t xml:space="preserve">Cuadro </w:t>
      </w:r>
      <w:proofErr w:type="spellStart"/>
      <w:r>
        <w:rPr>
          <w:b/>
          <w:sz w:val="24"/>
          <w:szCs w:val="24"/>
          <w:lang w:eastAsia="es-ES"/>
        </w:rPr>
        <w:t>Nº</w:t>
      </w:r>
      <w:proofErr w:type="spellEnd"/>
      <w:r>
        <w:rPr>
          <w:b/>
          <w:sz w:val="24"/>
          <w:szCs w:val="24"/>
          <w:lang w:eastAsia="es-ES"/>
        </w:rPr>
        <w:t xml:space="preserve"> 4</w:t>
      </w:r>
      <w:r w:rsidRPr="00945C60">
        <w:rPr>
          <w:b/>
          <w:sz w:val="24"/>
          <w:szCs w:val="24"/>
          <w:lang w:eastAsia="es-ES"/>
        </w:rPr>
        <w:t xml:space="preserve"> – Zonificación INTRUPUBA</w:t>
      </w:r>
      <w:r>
        <w:rPr>
          <w:b/>
          <w:sz w:val="24"/>
          <w:szCs w:val="24"/>
          <w:lang w:eastAsia="es-ES"/>
        </w:rPr>
        <w:t>. Años 2006 - 2007.</w:t>
      </w:r>
    </w:p>
    <w:p w14:paraId="602E0BCF" w14:textId="77777777" w:rsidR="006C1CFB" w:rsidRPr="00945C60" w:rsidRDefault="006C1CFB" w:rsidP="006C1CFB">
      <w:pPr>
        <w:spacing w:after="0"/>
        <w:ind w:firstLine="0"/>
        <w:jc w:val="center"/>
        <w:rPr>
          <w:b/>
          <w:sz w:val="24"/>
          <w:szCs w:val="24"/>
          <w:lang w:eastAsia="es-ES"/>
        </w:rPr>
      </w:pPr>
      <w:r>
        <w:rPr>
          <w:b/>
          <w:noProof/>
          <w:sz w:val="24"/>
          <w:szCs w:val="24"/>
        </w:rPr>
        <w:drawing>
          <wp:inline distT="0" distB="0" distL="0" distR="0" wp14:anchorId="35B6E7C9" wp14:editId="44E6E79B">
            <wp:extent cx="5220970" cy="2971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ificacion.jpg"/>
                    <pic:cNvPicPr/>
                  </pic:nvPicPr>
                  <pic:blipFill>
                    <a:blip r:embed="rId17">
                      <a:grayscl/>
                      <a:extLst>
                        <a:ext uri="{28A0092B-C50C-407E-A947-70E740481C1C}">
                          <a14:useLocalDpi xmlns:a14="http://schemas.microsoft.com/office/drawing/2010/main" val="0"/>
                        </a:ext>
                      </a:extLst>
                    </a:blip>
                    <a:stretch>
                      <a:fillRect/>
                    </a:stretch>
                  </pic:blipFill>
                  <pic:spPr>
                    <a:xfrm>
                      <a:off x="0" y="0"/>
                      <a:ext cx="5220970" cy="2971165"/>
                    </a:xfrm>
                    <a:prstGeom prst="rect">
                      <a:avLst/>
                    </a:prstGeom>
                  </pic:spPr>
                </pic:pic>
              </a:graphicData>
            </a:graphic>
          </wp:inline>
        </w:drawing>
      </w:r>
    </w:p>
    <w:p w14:paraId="6187E707" w14:textId="77777777" w:rsidR="006C1CFB" w:rsidRPr="004E130C" w:rsidRDefault="006C1CFB" w:rsidP="006C1CFB">
      <w:pPr>
        <w:spacing w:line="240" w:lineRule="auto"/>
        <w:ind w:firstLine="0"/>
        <w:jc w:val="center"/>
        <w:rPr>
          <w:sz w:val="20"/>
          <w:szCs w:val="20"/>
          <w:lang w:eastAsia="es-ES"/>
        </w:rPr>
      </w:pPr>
      <w:r w:rsidRPr="00945C60">
        <w:rPr>
          <w:sz w:val="20"/>
          <w:szCs w:val="20"/>
          <w:lang w:eastAsia="es-ES"/>
        </w:rPr>
        <w:t xml:space="preserve">Fuente: INTRUPUBA, </w:t>
      </w:r>
      <w:r>
        <w:rPr>
          <w:sz w:val="20"/>
          <w:szCs w:val="20"/>
          <w:lang w:eastAsia="es-ES"/>
        </w:rPr>
        <w:t>2006-</w:t>
      </w:r>
      <w:r w:rsidRPr="00945C60">
        <w:rPr>
          <w:sz w:val="20"/>
          <w:szCs w:val="20"/>
          <w:lang w:eastAsia="es-ES"/>
        </w:rPr>
        <w:t>2007.</w:t>
      </w:r>
    </w:p>
    <w:p w14:paraId="661DE617" w14:textId="77777777" w:rsidR="00A94A28" w:rsidRPr="00A313AB" w:rsidRDefault="00A94A28" w:rsidP="00A313AB">
      <w:pPr>
        <w:widowControl w:val="0"/>
        <w:spacing w:line="240" w:lineRule="atLeast"/>
        <w:ind w:firstLine="0"/>
        <w:jc w:val="both"/>
        <w:rPr>
          <w:rFonts w:eastAsia="Calibri" w:cs="Times New Roman"/>
          <w:sz w:val="24"/>
          <w:szCs w:val="24"/>
          <w:lang w:eastAsia="es-ES"/>
        </w:rPr>
      </w:pPr>
    </w:p>
    <w:sectPr w:rsidR="00A94A28" w:rsidRPr="00A313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2339C" w14:textId="77777777" w:rsidR="00604BC6" w:rsidRDefault="00604BC6" w:rsidP="00620A32">
      <w:pPr>
        <w:spacing w:after="0" w:line="240" w:lineRule="auto"/>
      </w:pPr>
      <w:r>
        <w:separator/>
      </w:r>
    </w:p>
  </w:endnote>
  <w:endnote w:type="continuationSeparator" w:id="0">
    <w:p w14:paraId="795D4EE9" w14:textId="77777777" w:rsidR="00604BC6" w:rsidRDefault="00604BC6" w:rsidP="0062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91277" w14:textId="77777777" w:rsidR="00604BC6" w:rsidRDefault="00604BC6" w:rsidP="00620A32">
      <w:pPr>
        <w:spacing w:after="0" w:line="240" w:lineRule="auto"/>
      </w:pPr>
      <w:r>
        <w:separator/>
      </w:r>
    </w:p>
  </w:footnote>
  <w:footnote w:type="continuationSeparator" w:id="0">
    <w:p w14:paraId="6F13DE0D" w14:textId="77777777" w:rsidR="00604BC6" w:rsidRDefault="00604BC6" w:rsidP="00620A32">
      <w:pPr>
        <w:spacing w:after="0" w:line="240" w:lineRule="auto"/>
      </w:pPr>
      <w:r>
        <w:continuationSeparator/>
      </w:r>
    </w:p>
  </w:footnote>
  <w:footnote w:id="1">
    <w:p w14:paraId="694FFA20" w14:textId="77777777" w:rsidR="006C1CFB" w:rsidRDefault="006C1CFB" w:rsidP="006C1CFB">
      <w:pPr>
        <w:pStyle w:val="Textonotapie"/>
        <w:ind w:firstLine="0"/>
        <w:jc w:val="both"/>
      </w:pPr>
      <w:r>
        <w:rPr>
          <w:rStyle w:val="Refdenotaalpie"/>
        </w:rPr>
        <w:footnoteRef/>
      </w:r>
      <w:r>
        <w:t xml:space="preserve"> La INTRUPUBA </w:t>
      </w:r>
      <w:r w:rsidRPr="00D228DC">
        <w:t xml:space="preserve">ha sido realizada por la Secretaría de Transporte de la Nación durante los años 2006 y 2007. El estudio presenta los resultados correspondientes a los viajes realizados en todos los modos de Transporte Público (Ferrocarril, Subterráneo, </w:t>
      </w:r>
      <w:proofErr w:type="gramStart"/>
      <w:r w:rsidRPr="00D228DC">
        <w:t>Pre metro</w:t>
      </w:r>
      <w:proofErr w:type="gramEnd"/>
      <w:r w:rsidRPr="00D228DC">
        <w:t xml:space="preserve"> y Colectivo).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27831"/>
    <w:multiLevelType w:val="hybridMultilevel"/>
    <w:tmpl w:val="3752B45A"/>
    <w:lvl w:ilvl="0" w:tplc="D52A2622">
      <w:start w:val="6"/>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56557DB"/>
    <w:multiLevelType w:val="hybridMultilevel"/>
    <w:tmpl w:val="42E6F61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FB758A"/>
    <w:multiLevelType w:val="hybridMultilevel"/>
    <w:tmpl w:val="B880B03E"/>
    <w:lvl w:ilvl="0" w:tplc="2C0A000D">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4E5431E"/>
    <w:multiLevelType w:val="multilevel"/>
    <w:tmpl w:val="D1C877B2"/>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asciiTheme="minorHAnsi" w:hAnsiTheme="minorHAnsi"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32"/>
    <w:rsid w:val="00092328"/>
    <w:rsid w:val="000C309F"/>
    <w:rsid w:val="000F29B6"/>
    <w:rsid w:val="001079DD"/>
    <w:rsid w:val="00130AB0"/>
    <w:rsid w:val="00131F90"/>
    <w:rsid w:val="0018033B"/>
    <w:rsid w:val="00220FFF"/>
    <w:rsid w:val="0023275A"/>
    <w:rsid w:val="00253D42"/>
    <w:rsid w:val="0027154B"/>
    <w:rsid w:val="002805B9"/>
    <w:rsid w:val="002C0FD4"/>
    <w:rsid w:val="002C7E41"/>
    <w:rsid w:val="002E3675"/>
    <w:rsid w:val="00334B9E"/>
    <w:rsid w:val="0038411A"/>
    <w:rsid w:val="003B0A6C"/>
    <w:rsid w:val="003E13FE"/>
    <w:rsid w:val="004634EC"/>
    <w:rsid w:val="004A60BD"/>
    <w:rsid w:val="004B5010"/>
    <w:rsid w:val="004E6F19"/>
    <w:rsid w:val="005163AF"/>
    <w:rsid w:val="00555B76"/>
    <w:rsid w:val="0059706E"/>
    <w:rsid w:val="005A08BC"/>
    <w:rsid w:val="005A43B8"/>
    <w:rsid w:val="005D604F"/>
    <w:rsid w:val="005E68F3"/>
    <w:rsid w:val="00604BC6"/>
    <w:rsid w:val="00605348"/>
    <w:rsid w:val="00620A32"/>
    <w:rsid w:val="00643AC0"/>
    <w:rsid w:val="00670687"/>
    <w:rsid w:val="00693199"/>
    <w:rsid w:val="006C1CFB"/>
    <w:rsid w:val="006E6063"/>
    <w:rsid w:val="0070499F"/>
    <w:rsid w:val="00742E74"/>
    <w:rsid w:val="00751225"/>
    <w:rsid w:val="00780145"/>
    <w:rsid w:val="00795C48"/>
    <w:rsid w:val="007C57E7"/>
    <w:rsid w:val="007D0A23"/>
    <w:rsid w:val="007D27E4"/>
    <w:rsid w:val="007D7367"/>
    <w:rsid w:val="007E1CDF"/>
    <w:rsid w:val="00827D99"/>
    <w:rsid w:val="0083096A"/>
    <w:rsid w:val="00847438"/>
    <w:rsid w:val="00847C4F"/>
    <w:rsid w:val="0085722E"/>
    <w:rsid w:val="008908E0"/>
    <w:rsid w:val="00897832"/>
    <w:rsid w:val="00930E1D"/>
    <w:rsid w:val="009352E3"/>
    <w:rsid w:val="00994718"/>
    <w:rsid w:val="00995906"/>
    <w:rsid w:val="009B6B77"/>
    <w:rsid w:val="009B7182"/>
    <w:rsid w:val="009C3A7A"/>
    <w:rsid w:val="009E70D2"/>
    <w:rsid w:val="009F2DB7"/>
    <w:rsid w:val="00A15A62"/>
    <w:rsid w:val="00A313AB"/>
    <w:rsid w:val="00A63D3F"/>
    <w:rsid w:val="00A94A28"/>
    <w:rsid w:val="00AA2432"/>
    <w:rsid w:val="00AE15A6"/>
    <w:rsid w:val="00AE7B8C"/>
    <w:rsid w:val="00AF5E04"/>
    <w:rsid w:val="00B41691"/>
    <w:rsid w:val="00B57D75"/>
    <w:rsid w:val="00B70C20"/>
    <w:rsid w:val="00BA0413"/>
    <w:rsid w:val="00BC21FF"/>
    <w:rsid w:val="00BE0226"/>
    <w:rsid w:val="00BF59CD"/>
    <w:rsid w:val="00BF688E"/>
    <w:rsid w:val="00C374AB"/>
    <w:rsid w:val="00C7741A"/>
    <w:rsid w:val="00C93B07"/>
    <w:rsid w:val="00CC5CAB"/>
    <w:rsid w:val="00CD6B9D"/>
    <w:rsid w:val="00D5372D"/>
    <w:rsid w:val="00D67B3F"/>
    <w:rsid w:val="00D913CD"/>
    <w:rsid w:val="00DE3C99"/>
    <w:rsid w:val="00DE3D27"/>
    <w:rsid w:val="00E117BB"/>
    <w:rsid w:val="00E9347A"/>
    <w:rsid w:val="00EB751B"/>
    <w:rsid w:val="00EC7039"/>
    <w:rsid w:val="00EF0B2E"/>
    <w:rsid w:val="00F429D1"/>
    <w:rsid w:val="00F51A6C"/>
    <w:rsid w:val="00F62934"/>
    <w:rsid w:val="00FA1224"/>
    <w:rsid w:val="00FA5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0B70"/>
  <w15:chartTrackingRefBased/>
  <w15:docId w15:val="{C735BE5B-A37F-41A6-AF1C-72ED4390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32"/>
    <w:pPr>
      <w:spacing w:after="200" w:line="276" w:lineRule="auto"/>
      <w:ind w:firstLine="284"/>
    </w:pPr>
    <w:rPr>
      <w:rFonts w:eastAsiaTheme="minorEastAsia"/>
      <w:lang w:val="es-AR" w:eastAsia="es-AR"/>
    </w:rPr>
  </w:style>
  <w:style w:type="paragraph" w:styleId="Ttulo1">
    <w:name w:val="heading 1"/>
    <w:basedOn w:val="Normal"/>
    <w:next w:val="Normal"/>
    <w:link w:val="Ttulo1Car"/>
    <w:uiPriority w:val="9"/>
    <w:qFormat/>
    <w:rsid w:val="00D67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20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20A32"/>
    <w:rPr>
      <w:rFonts w:asciiTheme="majorHAnsi" w:eastAsiaTheme="majorEastAsia" w:hAnsiTheme="majorHAnsi" w:cstheme="majorBidi"/>
      <w:color w:val="1F3763" w:themeColor="accent1" w:themeShade="7F"/>
      <w:sz w:val="24"/>
      <w:szCs w:val="24"/>
      <w:lang w:val="es-AR" w:eastAsia="es-AR"/>
    </w:rPr>
  </w:style>
  <w:style w:type="paragraph" w:styleId="Prrafodelista">
    <w:name w:val="List Paragraph"/>
    <w:basedOn w:val="Normal"/>
    <w:uiPriority w:val="34"/>
    <w:qFormat/>
    <w:rsid w:val="00620A32"/>
    <w:pPr>
      <w:ind w:left="720"/>
      <w:contextualSpacing/>
    </w:pPr>
    <w:rPr>
      <w:rFonts w:ascii="Calibri" w:eastAsia="Calibri" w:hAnsi="Calibri" w:cs="Times New Roman"/>
    </w:rPr>
  </w:style>
  <w:style w:type="paragraph" w:styleId="Textonotapie">
    <w:name w:val="footnote text"/>
    <w:basedOn w:val="Normal"/>
    <w:link w:val="TextonotapieCar"/>
    <w:uiPriority w:val="99"/>
    <w:unhideWhenUsed/>
    <w:rsid w:val="00620A32"/>
    <w:pPr>
      <w:spacing w:after="0" w:line="240" w:lineRule="auto"/>
    </w:pPr>
    <w:rPr>
      <w:sz w:val="20"/>
      <w:szCs w:val="20"/>
    </w:rPr>
  </w:style>
  <w:style w:type="character" w:customStyle="1" w:styleId="TextonotapieCar">
    <w:name w:val="Texto nota pie Car"/>
    <w:basedOn w:val="Fuentedeprrafopredeter"/>
    <w:link w:val="Textonotapie"/>
    <w:uiPriority w:val="99"/>
    <w:rsid w:val="00620A32"/>
    <w:rPr>
      <w:rFonts w:eastAsiaTheme="minorEastAsia"/>
      <w:sz w:val="20"/>
      <w:szCs w:val="20"/>
      <w:lang w:val="es-AR" w:eastAsia="es-AR"/>
    </w:rPr>
  </w:style>
  <w:style w:type="character" w:styleId="Refdenotaalpie">
    <w:name w:val="footnote reference"/>
    <w:uiPriority w:val="99"/>
    <w:semiHidden/>
    <w:unhideWhenUsed/>
    <w:rsid w:val="00620A32"/>
    <w:rPr>
      <w:vertAlign w:val="superscript"/>
    </w:rPr>
  </w:style>
  <w:style w:type="table" w:styleId="Tablaconcuadrcula">
    <w:name w:val="Table Grid"/>
    <w:basedOn w:val="Tablanormal"/>
    <w:uiPriority w:val="39"/>
    <w:rsid w:val="00780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7801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D5372D"/>
    <w:rPr>
      <w:color w:val="0563C1" w:themeColor="hyperlink"/>
      <w:u w:val="single"/>
    </w:rPr>
  </w:style>
  <w:style w:type="character" w:styleId="Mencinsinresolver">
    <w:name w:val="Unresolved Mention"/>
    <w:basedOn w:val="Fuentedeprrafopredeter"/>
    <w:uiPriority w:val="99"/>
    <w:semiHidden/>
    <w:unhideWhenUsed/>
    <w:rsid w:val="00D5372D"/>
    <w:rPr>
      <w:color w:val="605E5C"/>
      <w:shd w:val="clear" w:color="auto" w:fill="E1DFDD"/>
    </w:rPr>
  </w:style>
  <w:style w:type="character" w:customStyle="1" w:styleId="Ttulo1Car">
    <w:name w:val="Título 1 Car"/>
    <w:basedOn w:val="Fuentedeprrafopredeter"/>
    <w:link w:val="Ttulo1"/>
    <w:uiPriority w:val="9"/>
    <w:rsid w:val="00D67B3F"/>
    <w:rPr>
      <w:rFonts w:asciiTheme="majorHAnsi" w:eastAsiaTheme="majorEastAsia" w:hAnsiTheme="majorHAnsi" w:cstheme="majorBidi"/>
      <w:color w:val="2F5496" w:themeColor="accent1" w:themeShade="BF"/>
      <w:sz w:val="32"/>
      <w:szCs w:val="3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0812">
      <w:bodyDiv w:val="1"/>
      <w:marLeft w:val="0"/>
      <w:marRight w:val="0"/>
      <w:marTop w:val="0"/>
      <w:marBottom w:val="0"/>
      <w:divBdr>
        <w:top w:val="none" w:sz="0" w:space="0" w:color="auto"/>
        <w:left w:val="none" w:sz="0" w:space="0" w:color="auto"/>
        <w:bottom w:val="none" w:sz="0" w:space="0" w:color="auto"/>
        <w:right w:val="none" w:sz="0" w:space="0" w:color="auto"/>
      </w:divBdr>
    </w:div>
    <w:div w:id="165365801">
      <w:bodyDiv w:val="1"/>
      <w:marLeft w:val="0"/>
      <w:marRight w:val="0"/>
      <w:marTop w:val="0"/>
      <w:marBottom w:val="0"/>
      <w:divBdr>
        <w:top w:val="none" w:sz="0" w:space="0" w:color="auto"/>
        <w:left w:val="none" w:sz="0" w:space="0" w:color="auto"/>
        <w:bottom w:val="none" w:sz="0" w:space="0" w:color="auto"/>
        <w:right w:val="none" w:sz="0" w:space="0" w:color="auto"/>
      </w:divBdr>
    </w:div>
    <w:div w:id="236325112">
      <w:bodyDiv w:val="1"/>
      <w:marLeft w:val="0"/>
      <w:marRight w:val="0"/>
      <w:marTop w:val="0"/>
      <w:marBottom w:val="0"/>
      <w:divBdr>
        <w:top w:val="none" w:sz="0" w:space="0" w:color="auto"/>
        <w:left w:val="none" w:sz="0" w:space="0" w:color="auto"/>
        <w:bottom w:val="none" w:sz="0" w:space="0" w:color="auto"/>
        <w:right w:val="none" w:sz="0" w:space="0" w:color="auto"/>
      </w:divBdr>
    </w:div>
    <w:div w:id="1530676207">
      <w:bodyDiv w:val="1"/>
      <w:marLeft w:val="0"/>
      <w:marRight w:val="0"/>
      <w:marTop w:val="0"/>
      <w:marBottom w:val="0"/>
      <w:divBdr>
        <w:top w:val="none" w:sz="0" w:space="0" w:color="auto"/>
        <w:left w:val="none" w:sz="0" w:space="0" w:color="auto"/>
        <w:bottom w:val="none" w:sz="0" w:space="0" w:color="auto"/>
        <w:right w:val="none" w:sz="0" w:space="0" w:color="auto"/>
      </w:divBdr>
    </w:div>
    <w:div w:id="19626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porte.gob.ar" TargetMode="External"/><Relationship Id="rId13" Type="http://schemas.openxmlformats.org/officeDocument/2006/relationships/hyperlink" Target="http://www.transporte.gob.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www.transporte.gob.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ansporte.gob.ar" TargetMode="External"/><Relationship Id="rId5" Type="http://schemas.openxmlformats.org/officeDocument/2006/relationships/footnotes" Target="footnotes.xml"/><Relationship Id="rId15" Type="http://schemas.openxmlformats.org/officeDocument/2006/relationships/hyperlink" Target="http://www.transporte.gob.ar" TargetMode="External"/><Relationship Id="rId10" Type="http://schemas.openxmlformats.org/officeDocument/2006/relationships/hyperlink" Target="http://www.transporte.gob.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transporte.gob.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2334</Words>
  <Characters>12843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Alejandra Fernandez</dc:creator>
  <cp:keywords/>
  <dc:description/>
  <cp:lastModifiedBy>Claudia Alejandra Fernandez</cp:lastModifiedBy>
  <cp:revision>3</cp:revision>
  <dcterms:created xsi:type="dcterms:W3CDTF">2020-12-11T23:44:00Z</dcterms:created>
  <dcterms:modified xsi:type="dcterms:W3CDTF">2020-12-15T23:59:00Z</dcterms:modified>
</cp:coreProperties>
</file>