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 w:cs="Arial"/>
          <w:b/>
          <w:i w:val="0"/>
          <w:color w:val="000000"/>
          <w:sz w:val="32"/>
        </w:rPr>
        <w:t>Anexo 1 — Índice del Trabajo Final y contenidos mínimos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El presente anexo reproduce de manera literal los contenidos mínimos exigidos por la guía del Trabajo Final de Graduación y establece, para cada uno de ellos, la correspondencia con la sección del trabajo en la que es desarrollado. Su propósito es doble: ofrecer al lector una matriz de trazabilidad que verifique la cobertura íntegra de los requisitos formales, y sintetizar los principales resultados obtenidos en cada dimensión del plan de negocio. Los enunciados que anteceden a cada apartado se transcriben en su redacción original; la descripción subsiguiente remite a la numeración interna del documento.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Carátula. Resumen Ejecutivo.</w:t>
      </w:r>
      <w:r>
        <w:rPr>
          <w:rFonts w:ascii="Arial" w:hAnsi="Arial" w:cs="Arial"/>
          <w:b w:val="0"/>
          <w:i/>
          <w:color w:val="000000"/>
          <w:sz w:val="24"/>
        </w:rPr>
        <w:t xml:space="preserve"> Debe ser corto y conciso (una página máxima) y expresar brevemente la idea general del proyecto, incluyendo: la descripción de la necesidad, la idea de negocio y el tamaño de la oportunidad; el segmento objetivo; las ventajas competitivas, el diferenciador del proyecto y su valor agregado; el equipo emprendedor; y la rentabilidad del negocio, la inversión requerida y la rentabilidad para el inversor.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la Carátula y el Resumen Ejecutivo del documento. Este último sintetiza, en extensión acotada, la oportunidad asociada a la informalidad y la opacidad del mercado de oficios en Argentina, la propuesta de OFIX como marketplace de contratación formal, el dimensionamiento de la oportunidad (SAM subregional de USD 2,9 mil millones y SOM para Argentina de USD 2,85 a 5,70 millones), la composición del equipo fundador y los principales indicadores de rentabilidad (inversión inicial de USD 87.694, VAN de USD 82.015 y TIR del 48 %).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Índice de contenidos. Agradecimientos. Introducción.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Se desarrollan, respectivamente, en el Índice de contenidos, los Agradecimientos y la Introducción. Esta última precisa la motivación y relevancia del proyecto, el objetivo general y los objetivos específicos, la estrategia metodológica —articulación de fuentes primarias (encuesta, entrevistas en profundidad y pruebas reales de campañas) y secundarias— y la estructura del documento.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I – Evaluación del problema.</w:t>
      </w:r>
      <w:r>
        <w:rPr>
          <w:rFonts w:ascii="Arial" w:hAnsi="Arial" w:cs="Arial"/>
          <w:b w:val="0"/>
          <w:i/>
          <w:color w:val="000000"/>
          <w:sz w:val="24"/>
        </w:rPr>
        <w:t xml:space="preserve"> Análisis y selección de la oportunidad de negocio digital. Investigación y validación de la oportunidad, necesidad y/o problema identificado. Investigación de mercado. Características del público objetivo, preferencias y necesidades. Árbol del problema y User Persona.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abordan en el Capítulo I. La selección y validación de la oportunidad se sustenta en la descripción y evidencias del problema (secciones 1.1 y 1.2), que documentan la informalidad estructural del sector y la dependencia del boca a boca como canal dominante de contratación. La caracterización del público objetivo se desarrolla mediante la identificación de los usuarios afectados (1.3), el árbol del problema (1.4) y la elaboración de tres User Personas representativas de los segmentos hogar, pyme gastronómica y trabajador de oficio (1.5). La investigación de mercado (1.7) integra evidencia cuantitativa —encuesta con 102 respuestas del lado de la demanda y 21 del lado de la oferta— y cualitativa —ocho entrevistas en profundidad (1.8)—, cuyas conclusiones se consolidan en la sección 1.9.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II – Solución Producto Digital.</w:t>
      </w:r>
      <w:r>
        <w:rPr>
          <w:rFonts w:ascii="Arial" w:hAnsi="Arial" w:cs="Arial"/>
          <w:b w:val="0"/>
          <w:i/>
          <w:color w:val="000000"/>
          <w:sz w:val="24"/>
        </w:rPr>
        <w:t xml:space="preserve"> Propuesta de Valor Única. Desarrollo del MVP. Fundamento y justificación de su alcance. Modelo de priorización utilizado. ¿Cómo la empresa va a ganar dinero? Desarrollo profundo del modelo de negocio sugerido. Business Model Canvas. Tamaño de la oportunidad de negocio (TAM, SAM, SOM). Roadmap de desarrollo de producto de 3 a 5 años con hitos esperados para las distintas dimensiones del roadmap. Desarrollo del stack tecnológico propuesto, incluyendo la infraestructura de servicio y su fundamento. Desarrollo del marco competitivo exhaustivo y matriz de posicionamiento que incorpore la solución propuesta en el marco descripto. Desarrollo UX/ Ui y Prototipado.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el Capítulo II. La propuesta de valor y el alcance del MVP se fundamentan a partir de la descripción de la solución (2.1), su deseabilidad (2.2) y un modelo de priorización MoSCoW (2.5). El modelo de monetización y el modelo de negocio se exponen en las secciones 2.4 y 2.7 (Business Model Canvas), complementados por el Value Proposition Canvas (2.8) y el análisis FODA (2.9). La factibilidad técnica y el stack tecnológico, con su infraestructura de servicio, se justifican en la sección 2.3. El roadmap de producto a cinco años (2026–2030) se detalla en la sección 2.6. El marco competitivo se aborda mediante un benchmark de once plataformas y una entrevista en profundidad al competidor Reeparando (2.10), y se sintetiza en una matriz de posicionamiento (2.11). El desarrollo UX/UI y el prototipado navegable, junto con sus testeos de usabilidad, se presentan en la sección 2.12. El dimensionamiento de la oportunidad (TAM, SAM y SOM) se calcula en la sección 2.13, y se complementa con los análisis estratégicos PESTEL (2.14), de las cinco fuerzas de Porter (2.15), de la cadena de valor (2.16) y de la tipología de industria según Barney (2.17).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III – Pn de Marketing [sic].</w:t>
      </w:r>
      <w:r>
        <w:rPr>
          <w:rFonts w:ascii="Arial" w:hAnsi="Arial" w:cs="Arial"/>
          <w:b w:val="0"/>
          <w:i/>
          <w:color w:val="000000"/>
          <w:sz w:val="24"/>
        </w:rPr>
        <w:t xml:space="preserve"> Desarrollar los objetivos y la correspondiente planificación de estrategias y acciones de Marketing Digital. Definir audiencias y canales y mensajes, contenido, redes, performance. Plan de Medios. Embudo de conversión.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el Capítulo III. La planificación de estrategias y acciones de marketing digital, con la definición de audiencias, canales, mensajes y contenidos, se aborda en las secciones 3.1 a 3.3, segmentada por tipo de usuario. El plan de medios se valida empíricamente mediante pruebas reales de campañas ejecutadas en Meta Ads y Google Ads con presupuestos controlados (3.4). La medición de performance se formaliza a través de los KPI del producto y del negocio (3.5) y del embudo de conversión —modelo AARRR para los lados de la demanda y de la oferta, junto con las métricas de salud del marketplace— (3.6).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IV – Equipo.</w:t>
      </w:r>
      <w:r>
        <w:rPr>
          <w:rFonts w:ascii="Arial" w:hAnsi="Arial" w:cs="Arial"/>
          <w:b w:val="0"/>
          <w:i/>
          <w:color w:val="000000"/>
          <w:sz w:val="24"/>
        </w:rPr>
        <w:t xml:space="preserve"> Características de los integrantes del equipo de trabajo que formarán parte de la construcción y puesta en funcionamiento del producto que se quiera desarrollar. Habilidades técnicas, habilidades de liderazgo, habilidades blandas. Organigrama inicial y desarrollo esperado de la estructura a futuro.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el Capítulo IV. La composición del equipo durante el primer año de operación, incluyendo el equipo fundador y las incorporaciones planificadas por trimestre, se expone en la sección 4.1. El organigrama inicial y su evolución esperada se presentan en la sección 4.2, y las habilidades técnicas, de liderazgo y blandas, así como su cobertura progresiva, se analizan en la sección 4.3.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V – Costos, Finanzas e Inversión.</w:t>
      </w:r>
      <w:r>
        <w:rPr>
          <w:rFonts w:ascii="Arial" w:hAnsi="Arial" w:cs="Arial"/>
          <w:b w:val="0"/>
          <w:i/>
          <w:color w:val="000000"/>
          <w:sz w:val="24"/>
        </w:rPr>
        <w:t xml:space="preserve"> Unit Economics. Principales variables para el desarrollo del negocio. EERR (P&amp;L). TIR y VAN. Análisis de costos, inversión. Plan de 3 a 5 años. CAC y LTV.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el Capítulo V. Las principales variables del negocio se modelan a partir de los costos variables y fijos (5.2 y 5.3) y de la proyección de ingresos bajo el modelo PxQ (5.4). El Estado de Resultados (P&amp;L) proyectado se presenta en la sección 5.6, con ingresos que evolucionan de USD 693.651 en el primer año a USD 4.012.723 en el quinto. La evaluación financiera (5.7) arroja un VAN de USD 82.015 y una TIR del 48 %, sustancialmente superior al WACC del 27 %, con un período de recupero descontado de 44 meses. Los unit economics, la contribución marginal y el punto de equilibrio —que incorporan el CAC y el LTV— se analizan en la sección 5.8, mientras que las NOF, el CAPEX, el flujo de fondos libres y la inversión total requerida (USD 87.694 iniciales) se desarrollan en las secciones 5.9 y 5.10, bajo los supuestos macroeconómicos explicitados en la sección 5.11.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VI – Aspectos Legales.</w:t>
      </w:r>
      <w:r>
        <w:rPr>
          <w:rFonts w:ascii="Arial" w:hAnsi="Arial" w:cs="Arial"/>
          <w:b w:val="0"/>
          <w:i/>
          <w:color w:val="000000"/>
          <w:sz w:val="24"/>
        </w:rPr>
        <w:t xml:space="preserve"> Desarrollo del marco regulatorio vigente y esperado para la industria del producto o servicio propuesto.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el Capítulo VI, que estructura el marco regulatorio aplicable a una plataforma de intermediación de servicios en Argentina según una secuencia trimestral: bases legales (6.1), compliance, seguridad y protección de datos (6.2), consolidación jurídica y escalabilidad (6.3) y auditoría anual y estándares (6.4).</w:t>
      </w:r>
    </w:p>
    <w:p>
      <w:pPr>
        <w:spacing w:before="200" w:after="40"/>
        <w:jc w:val="both"/>
      </w:pPr>
      <w:r>
        <w:rPr>
          <w:rFonts w:ascii="Arial" w:hAnsi="Arial" w:cs="Arial"/>
          <w:b/>
          <w:i w:val="0"/>
          <w:color w:val="000000"/>
          <w:sz w:val="24"/>
        </w:rPr>
        <w:t>VII – Plan de Implementación y Riesgos.</w:t>
      </w:r>
      <w:r>
        <w:rPr>
          <w:rFonts w:ascii="Arial" w:hAnsi="Arial" w:cs="Arial"/>
          <w:b w:val="0"/>
          <w:i/>
          <w:color w:val="000000"/>
          <w:sz w:val="24"/>
        </w:rPr>
        <w:t xml:space="preserve"> Riesgos potenciales (beneficios y problemas) que pueden afectar la construcción y puesta en marcha del producto digital. Plan de implementación congruente a nivel de tiempos, costos, recursos y factibilidad técnica.</w:t>
      </w:r>
    </w:p>
    <w:p>
      <w:pPr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Estos contenidos se desarrollan en el Capítulo VII. El plan de implementación del primer año se organiza por áreas funcionales —producto, operaciones, marketing y administración y finanzas— con hitos trimestrales (secciones 7.1 a 7.5). El análisis de riesgos potenciales se presenta en la sección 7.6, y la proyección de escalabilidad regional a cinco años, con la evaluación comparativa de los mercados de Uruguay, México, Colombia y Brasil, en la sección 7.7.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