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Biomim��tisme ��� Dossier de litt��rature complet</w:t>
      </w:r>
    </w:p>
    <w:p>
      <w:pPr>
        <w:pStyle w:val="Subtitle"/>
      </w:pPr>
      <w:r>
        <w:t xml:space="preserve">��tat de l'art, corpus, m��thodes, ��cosyst��me, controverses et fronts de recherche</w:t>
      </w:r>
    </w:p>
    <w:p>
      <w:pPr>
        <w:pStyle w:val="Date"/>
      </w:pPr>
      <w:r>
        <w:t xml:space="preserve">Version 1.0 ��� juillet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cadre-conceptuel-et-définitions-normées"/>
    <w:p>
      <w:pPr>
        <w:pStyle w:val="Heading2"/>
      </w:pPr>
      <w:r>
        <w:t xml:space="preserve">1. Cadre conceptuel et définitions normées</w:t>
      </w:r>
    </w:p>
    <w:p>
      <w:pPr>
        <w:pStyle w:val="FirstParagraph"/>
      </w:pPr>
      <w:r>
        <w:t xml:space="preserve">Le champ souffre d’une prolifération terminologique. La norme</w:t>
      </w:r>
      <w:r>
        <w:t xml:space="preserve"> </w:t>
      </w:r>
      <w:r>
        <w:rPr>
          <w:bCs/>
          <w:b/>
        </w:rPr>
        <w:t xml:space="preserve">ISO 18458:2015</w:t>
      </w:r>
      <w:r>
        <w:t xml:space="preserve"> </w:t>
      </w:r>
      <w:r>
        <w:t xml:space="preserve">est la référence qui tranche, et c’est elle qu’il faut citer dans tout travail sérieux.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Définition (ISO 18458 / usage)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Biomimétique</w:t>
            </w:r>
            <w:r>
              <w:t xml:space="preserve"> </w:t>
            </w:r>
            <w:r>
              <w:t xml:space="preserve">(</w:t>
            </w:r>
            <w:r>
              <w:rPr>
                <w:iCs/>
                <w:i/>
              </w:rPr>
              <w:t xml:space="preserve">biomimetics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Coopération interdisciplinaire biologie / technologie visant à résoudre des problèmes pratiques par abstraction, transfert et application de connaissances issues de modèles biologiques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Cœur normatif. Un système ne peut être dit « biomimétique » que s’il a suivi le processus de développement décrit par la norme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Bio-inspiration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Approche créative fondée sur l’observation des systèmes biologiques, sans exigence de transfert complet ni de compréhension du principe sous-jacent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Plus large, plus lâche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Biomimétisme</w:t>
            </w:r>
            <w:r>
              <w:t xml:space="preserve"> </w:t>
            </w:r>
            <w:r>
              <w:t xml:space="preserve">(</w:t>
            </w:r>
            <w:r>
              <w:rPr>
                <w:iCs/>
                <w:i/>
              </w:rPr>
              <w:t xml:space="preserve">biomimicry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Terme popularisé par Benyus (1997) : la nature comme</w:t>
            </w:r>
            <w:r>
              <w:t xml:space="preserve"> </w:t>
            </w:r>
            <w:r>
              <w:rPr>
                <w:bCs/>
                <w:b/>
              </w:rPr>
              <w:t xml:space="preserve">modèle, mesure et mentor</w:t>
            </w:r>
            <w:r>
              <w:t xml:space="preserve">. Ajoute une dimension normative/éthique de soutenabilité absente de la biomimétique 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« chargée » axiologiquement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Bionique</w:t>
            </w:r>
            <w:r>
              <w:t xml:space="preserve"> </w:t>
            </w:r>
            <w:r>
              <w:t xml:space="preserve">(</w:t>
            </w:r>
            <w:r>
              <w:rPr>
                <w:iCs/>
                <w:i/>
              </w:rPr>
              <w:t xml:space="preserve">bionics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Terme historique (Steele, 1958), plus utilisé en Allemagne et en Europe de l’Est ; souvent synonyme de biomimétique, parfois connoté prothèses/implants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Biomorphisme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Reprise formelle/esthétique de formes du vivant sans transfert fonctionnel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Exclu</w:t>
            </w:r>
            <w:r>
              <w:t xml:space="preserve"> </w:t>
            </w:r>
            <w:r>
              <w:t xml:space="preserve">du champ scientifique — source majeure de confusion en architecture et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Bio-utilisation / biointégration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 direct de matière vivante (mycélium, bactéries, algues) plutôt que transfert de principe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Champ voisin, en forte croissance</w:t>
            </w:r>
          </w:p>
        </w:tc>
      </w:tr>
    </w:tbl>
    <w:p>
      <w:pPr>
        <w:pStyle w:val="BodyText"/>
      </w:pPr>
      <w:r>
        <w:rPr>
          <w:bCs/>
          <w:b/>
        </w:rPr>
        <w:t xml:space="preserve">Distinction structurante à retenir</w:t>
      </w:r>
      <w:r>
        <w:t xml:space="preserve"> </w:t>
      </w:r>
      <w:r>
        <w:t xml:space="preserve">: biomorphisme ≠ biomimétisme. Une grande partie de la littérature « biomimétique » en architecture et en design produit en réalité du biomorphisme — c’est le principal reproche adressé au champ (voir §9).</w:t>
      </w:r>
    </w:p>
    <w:bookmarkStart w:id="20" w:name="X53495895b3d84ff4178156739ec6a056364cc71"/>
    <w:p>
      <w:pPr>
        <w:pStyle w:val="Heading3"/>
      </w:pPr>
      <w:r>
        <w:t xml:space="preserve">Les trois niveaux de mimétisme (Benyus, repris par Zari)</w:t>
      </w:r>
    </w:p>
    <w:p>
      <w:pPr>
        <w:pStyle w:val="FirstParagraph"/>
      </w:pPr>
      <w:r>
        <w:t xml:space="preserve">Cadre de</w:t>
      </w:r>
      <w:r>
        <w:t xml:space="preserve"> </w:t>
      </w:r>
      <w:r>
        <w:rPr>
          <w:bCs/>
          <w:b/>
        </w:rPr>
        <w:t xml:space="preserve">Maibritt Pedersen Zari</w:t>
      </w:r>
      <w:r>
        <w:t xml:space="preserve"> </w:t>
      </w:r>
      <w:r>
        <w:t xml:space="preserve">(2007, 2012, 2018), devenu standard en architecture 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Niveau organisme</w:t>
      </w:r>
      <w:r>
        <w:t xml:space="preserve"> </w:t>
      </w:r>
      <w:r>
        <w:t xml:space="preserve">— imitation d’un organisme ou d’une de ses parties (forme, matériau, processus, fonction)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Niveau comportement</w:t>
      </w:r>
      <w:r>
        <w:t xml:space="preserve"> </w:t>
      </w:r>
      <w:r>
        <w:t xml:space="preserve">— imitation d’un comportement ou d’une relation à l’environnement (termitières, fourmis)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Niveau écosystème</w:t>
      </w:r>
      <w:r>
        <w:t xml:space="preserve"> </w:t>
      </w:r>
      <w:r>
        <w:t xml:space="preserve">— imitation des principes de fonctionnement d’un écosystème entier (boucles fermées, dépendance à l’énergie solaire, diversité fonctionnelle)</w:t>
      </w:r>
    </w:p>
    <w:p>
      <w:pPr>
        <w:pStyle w:val="FirstParagraph"/>
      </w:pPr>
      <w:r>
        <w:t xml:space="preserve">Sous-dimensions transverses :</w:t>
      </w:r>
      <w:r>
        <w:t xml:space="preserve"> </w:t>
      </w:r>
      <w:r>
        <w:rPr>
          <w:iCs/>
          <w:i/>
        </w:rPr>
        <w:t xml:space="preserve">forme, matériau, construction, processus, fonction</w:t>
      </w:r>
      <w:r>
        <w:t xml:space="preserve">. Le tableau 3×5 de Zari est l’outil de classification le plus cité de la littérature architecturale.</w:t>
      </w:r>
    </w:p>
    <w:bookmarkEnd w:id="20"/>
    <w:bookmarkStart w:id="21" w:name="lifes-principles-biomimicry-3.8"/>
    <w:p>
      <w:pPr>
        <w:pStyle w:val="Heading3"/>
      </w:pPr>
      <w:r>
        <w:t xml:space="preserve">Life’s Principles (Biomimicry 3.8)</w:t>
      </w:r>
    </w:p>
    <w:p>
      <w:pPr>
        <w:pStyle w:val="FirstParagraph"/>
      </w:pPr>
      <w:r>
        <w:t xml:space="preserve">Grille des principes du vivant utilisée comme heuristique de conception et comme grille d’évaluation :</w:t>
      </w:r>
    </w:p>
    <w:p>
      <w:pPr>
        <w:numPr>
          <w:ilvl w:val="0"/>
          <w:numId w:val="1002"/>
        </w:numPr>
        <w:pStyle w:val="Compact"/>
      </w:pPr>
      <w:r>
        <w:t xml:space="preserve">S’adapter aux conditions changeantes (résilience, diversité, auto-organisation)</w:t>
      </w:r>
    </w:p>
    <w:p>
      <w:pPr>
        <w:numPr>
          <w:ilvl w:val="0"/>
          <w:numId w:val="1002"/>
        </w:numPr>
        <w:pStyle w:val="Compact"/>
      </w:pPr>
      <w:r>
        <w:t xml:space="preserve">Être adapté localement et sensible au contexte (matériaux et énergie disponibles localement, cycles)</w:t>
      </w:r>
    </w:p>
    <w:p>
      <w:pPr>
        <w:numPr>
          <w:ilvl w:val="0"/>
          <w:numId w:val="1002"/>
        </w:numPr>
        <w:pStyle w:val="Compact"/>
      </w:pPr>
      <w:r>
        <w:t xml:space="preserve">Utiliser une chimie bénigne (chimie de la vie, eau comme solvant, pas de haute température/pression/toxicité)</w:t>
      </w:r>
    </w:p>
    <w:p>
      <w:pPr>
        <w:numPr>
          <w:ilvl w:val="0"/>
          <w:numId w:val="1002"/>
        </w:numPr>
        <w:pStyle w:val="Compact"/>
      </w:pPr>
      <w:r>
        <w:t xml:space="preserve">Être économe en ressources (multifonctionnalité, structuration low-cost, recyclage)</w:t>
      </w:r>
    </w:p>
    <w:p>
      <w:pPr>
        <w:numPr>
          <w:ilvl w:val="0"/>
          <w:numId w:val="1002"/>
        </w:numPr>
        <w:pStyle w:val="Compact"/>
      </w:pPr>
      <w:r>
        <w:t xml:space="preserve">Intégrer développement et croissance (auto-assemblage, croissance par complexification)</w:t>
      </w:r>
    </w:p>
    <w:p>
      <w:pPr>
        <w:numPr>
          <w:ilvl w:val="0"/>
          <w:numId w:val="1002"/>
        </w:numPr>
        <w:pStyle w:val="Compact"/>
      </w:pPr>
      <w:r>
        <w:t xml:space="preserve">Évoluer pour survivre (réplication de stratégies éprouvées, réorganisation de l’information)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généalogie-intellectuelle"/>
    <w:p>
      <w:pPr>
        <w:pStyle w:val="Heading2"/>
      </w:pPr>
      <w:r>
        <w:t xml:space="preserve">2. Généalogie intellectuelle</w:t>
      </w:r>
    </w:p>
    <w:p>
      <w:pPr>
        <w:pStyle w:val="FirstParagraph"/>
      </w:pPr>
      <w:r>
        <w:rPr>
          <w:bCs/>
          <w:b/>
        </w:rPr>
        <w:t xml:space="preserve">Préhistoire (avant 1950)</w:t>
      </w:r>
      <w:r>
        <w:t xml:space="preserve"> </w:t>
      </w:r>
      <w:r>
        <w:t xml:space="preserve">- Léonard de Vinci —</w:t>
      </w:r>
      <w:r>
        <w:t xml:space="preserve"> </w:t>
      </w:r>
      <w:r>
        <w:rPr>
          <w:iCs/>
          <w:i/>
        </w:rPr>
        <w:t xml:space="preserve">Codex sur le vol des oiseaux</w:t>
      </w:r>
      <w:r>
        <w:t xml:space="preserve"> </w:t>
      </w:r>
      <w:r>
        <w:t xml:space="preserve">(1505) : première tentative documentée de transfert systématique</w:t>
      </w:r>
      <w:r>
        <w:t xml:space="preserve"> </w:t>
      </w:r>
      <w:r>
        <w:t xml:space="preserve">- Otto Lilienthal —</w:t>
      </w:r>
      <w:r>
        <w:t xml:space="preserve"> </w:t>
      </w:r>
      <w:r>
        <w:rPr>
          <w:iCs/>
          <w:i/>
        </w:rPr>
        <w:t xml:space="preserve">Der Vogelflug als Grundlage der Fliegekunst</w:t>
      </w:r>
      <w:r>
        <w:t xml:space="preserve"> </w:t>
      </w:r>
      <w:r>
        <w:t xml:space="preserve">(1889) : le vol des oiseaux comme base de l’aéronautique</w:t>
      </w:r>
      <w:r>
        <w:t xml:space="preserve"> </w:t>
      </w:r>
      <w:r>
        <w:t xml:space="preserve">- Raoul Francé —</w:t>
      </w:r>
      <w:r>
        <w:t xml:space="preserve"> </w:t>
      </w:r>
      <w:r>
        <w:rPr>
          <w:iCs/>
          <w:i/>
        </w:rPr>
        <w:t xml:space="preserve">Die Pflanze als Erfinder</w:t>
      </w:r>
      <w:r>
        <w:t xml:space="preserve"> </w:t>
      </w:r>
      <w:r>
        <w:t xml:space="preserve">(1920) : la plante comme inventeur ; concept de « biotechnique »</w:t>
      </w:r>
      <w:r>
        <w:t xml:space="preserve"> </w:t>
      </w:r>
      <w:r>
        <w:t xml:space="preserve">- D’Arcy Wentworth Thompson —</w:t>
      </w:r>
      <w:r>
        <w:t xml:space="preserve"> </w:t>
      </w:r>
      <w:r>
        <w:rPr>
          <w:iCs/>
          <w:i/>
        </w:rPr>
        <w:t xml:space="preserve">On Growth and Form</w:t>
      </w:r>
      <w:r>
        <w:t xml:space="preserve"> </w:t>
      </w:r>
      <w:r>
        <w:t xml:space="preserve">(1917/1942) : morphogenèse, contraintes physiques sur les formes vivantes.</w:t>
      </w:r>
      <w:r>
        <w:t xml:space="preserve"> </w:t>
      </w:r>
      <w:r>
        <w:rPr>
          <w:bCs/>
          <w:b/>
        </w:rPr>
        <w:t xml:space="preserve">Livre-source incontournable</w:t>
      </w:r>
    </w:p>
    <w:p>
      <w:pPr>
        <w:pStyle w:val="BodyText"/>
      </w:pPr>
      <w:r>
        <w:rPr>
          <w:bCs/>
          <w:b/>
        </w:rPr>
        <w:t xml:space="preserve">Institutionnalisation (1950–1997)</w:t>
      </w:r>
      <w:r>
        <w:t xml:space="preserve"> </w:t>
      </w:r>
      <w:r>
        <w:t xml:space="preserve">- Otto Schmitt — forge le terme</w:t>
      </w:r>
      <w:r>
        <w:t xml:space="preserve"> </w:t>
      </w:r>
      <w:r>
        <w:rPr>
          <w:iCs/>
          <w:i/>
        </w:rPr>
        <w:t xml:space="preserve">biomimetics</w:t>
      </w:r>
      <w:r>
        <w:t xml:space="preserve"> </w:t>
      </w:r>
      <w:r>
        <w:t xml:space="preserve">(thèse sur le trigger de Schmitt, 1957 ; terme diffusé années 1960)</w:t>
      </w:r>
      <w:r>
        <w:t xml:space="preserve"> </w:t>
      </w:r>
      <w:r>
        <w:t xml:space="preserve">- Jack Steele —</w:t>
      </w:r>
      <w:r>
        <w:t xml:space="preserve"> </w:t>
      </w:r>
      <w:r>
        <w:rPr>
          <w:iCs/>
          <w:i/>
        </w:rPr>
        <w:t xml:space="preserve">bionics</w:t>
      </w:r>
      <w:r>
        <w:t xml:space="preserve">, USAF, symposium de Dayton 1960</w:t>
      </w:r>
      <w:r>
        <w:t xml:space="preserve"> </w:t>
      </w:r>
      <w:r>
        <w:t xml:space="preserve">- Frei Otto — Institut für Leichtbau Entwerfen und Konstruieren (ILEK), Stuttgart, dès 1964 : structures légères bio-inspirées, toiture olympique de Munich (1972)</w:t>
      </w:r>
      <w:r>
        <w:t xml:space="preserve"> </w:t>
      </w:r>
      <w:r>
        <w:t xml:space="preserve">- Werner Nachtigall —</w:t>
      </w:r>
      <w:r>
        <w:t xml:space="preserve"> </w:t>
      </w:r>
      <w:r>
        <w:rPr>
          <w:iCs/>
          <w:i/>
        </w:rPr>
        <w:t xml:space="preserve">Bionik</w:t>
      </w:r>
      <w:r>
        <w:t xml:space="preserve"> </w:t>
      </w:r>
      <w:r>
        <w:t xml:space="preserve">(1998), fondateur de l’école allemande</w:t>
      </w:r>
      <w:r>
        <w:t xml:space="preserve"> </w:t>
      </w:r>
      <w:r>
        <w:t xml:space="preserve">- Julian Vincent —</w:t>
      </w:r>
      <w:r>
        <w:t xml:space="preserve"> </w:t>
      </w:r>
      <w:r>
        <w:rPr>
          <w:iCs/>
          <w:i/>
        </w:rPr>
        <w:t xml:space="preserve">Structural Biomaterials</w:t>
      </w:r>
      <w:r>
        <w:t xml:space="preserve"> </w:t>
      </w:r>
      <w:r>
        <w:t xml:space="preserve">(1982), puis les travaux fondateurs sur BioTRIZ</w:t>
      </w:r>
    </w:p>
    <w:p>
      <w:pPr>
        <w:pStyle w:val="BodyText"/>
      </w:pPr>
      <w:r>
        <w:rPr>
          <w:bCs/>
          <w:b/>
        </w:rPr>
        <w:t xml:space="preserve">Consécration (1997–aujourd’hui)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Janine Benyus,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Biomimicry: Innovation Inspired by Nature</w:t>
      </w:r>
      <w:r>
        <w:rPr>
          <w:bCs/>
          <w:b/>
        </w:rPr>
        <w:t xml:space="preserve"> </w:t>
      </w:r>
      <w:r>
        <w:rPr>
          <w:bCs/>
          <w:b/>
        </w:rPr>
        <w:t xml:space="preserve">(1997)</w:t>
      </w:r>
      <w:r>
        <w:t xml:space="preserve"> </w:t>
      </w:r>
      <w:r>
        <w:t xml:space="preserve">— l’acte de naissance du champ tel qu’il est connu du grand public. Fondation de Biomimicry Guild (1998) puis Biomimicry Institute (2006) et Biomimicry 3.8</w:t>
      </w:r>
      <w:r>
        <w:t xml:space="preserve"> </w:t>
      </w:r>
      <w:r>
        <w:t xml:space="preserve">- Lancement d’</w:t>
      </w:r>
      <w:r>
        <w:rPr>
          <w:bCs/>
          <w:b/>
        </w:rPr>
        <w:t xml:space="preserve">AskNature</w:t>
      </w:r>
      <w:r>
        <w:t xml:space="preserve"> </w:t>
      </w:r>
      <w:r>
        <w:t xml:space="preserve">(2008) — base de données fonctionnelle du vivant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ISO/TC 266</w:t>
      </w:r>
      <w:r>
        <w:t xml:space="preserve"> </w:t>
      </w:r>
      <w:r>
        <w:t xml:space="preserve">créé en 2011, premières normes en 2015</w:t>
      </w:r>
      <w:r>
        <w:t xml:space="preserve"> </w:t>
      </w:r>
      <w:r>
        <w:t xml:space="preserve">- Ceebios (France) 2014-2015, Biomim’expo dès 2016</w:t>
      </w:r>
    </w:p>
    <w:p>
      <w:r>
        <w:pict>
          <v:rect style="width:0;height:1.5pt" o:hralign="center" o:hrstd="t" o:hr="t"/>
        </w:pict>
      </w:r>
    </w:p>
    <w:bookmarkEnd w:id="23"/>
    <w:bookmarkStart w:id="27" w:name="corpus-fondateur"/>
    <w:p>
      <w:pPr>
        <w:pStyle w:val="Heading2"/>
      </w:pPr>
      <w:r>
        <w:t xml:space="preserve">3. Corpus fondateur</w:t>
      </w:r>
    </w:p>
    <w:bookmarkStart w:id="24" w:name="ouvrages-de-référence-anglophone"/>
    <w:p>
      <w:pPr>
        <w:pStyle w:val="Heading3"/>
      </w:pPr>
      <w:r>
        <w:t xml:space="preserve">3.1 Ouvrages de référence — anglophone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Auteur(s)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Pourquoi le lire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D’Arcy W. Thompson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On Growth and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1917/1942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Racine morphologique du champ. Physique des formes vivantes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Julian Vincent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Structural Biomaterials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1982, rév. 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Mécanique des matériaux biologiques, base quantitative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Steven Vogel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Life in Moving Fluids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1981/1994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Biomécanique des fluides. Indispensable pour aéro/hydrodynamique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Steven Vogel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Cats’ Paws and Catapults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Comparaison systématique technologie humaine vs nature. Le meilleur antidote à la naïveté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Janine Benyus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Biomimicry: Innovation Inspired by 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 fondateur, à lire de manière critique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Yoseph Bar-Cohen (dir.)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Biomimetics: Biologically Inspired Technologies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Somme technique multi-auteurs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Yoseph Bar-Cohen (dir.)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Biomimetics: Nature-Based Innovation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Suite, plus large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Michael Pawlyn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Biomimicry in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2011, 2e éd. 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Référence architecture, très opérationnel (Eden Project, Sahara Forest Project)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Peter Forbes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Gecko’s Foot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Vulgarisation solide sur les surfaces et adhésion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Jeannette Yen, Marc Weissburg et 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Biologically Inspired Design: Computational Methods and Tools</w:t>
            </w:r>
            <w:r>
              <w:t xml:space="preserve"> </w:t>
            </w:r>
            <w:r>
              <w:t xml:space="preserve">(Goel, McAdams, Stone dir.)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</w:t>
            </w:r>
            <w:r>
              <w:t xml:space="preserve"> </w:t>
            </w:r>
            <w:r>
              <w:t xml:space="preserve">volume sur la méthodologie et l’outillage computationnel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Thomas Speck, Olga Speck, Jan Knippers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Biomimetics for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École de Fribourg/Stuttgart, rigoureuse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Ashok Goel et 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Biologically Inspired Design</w:t>
            </w:r>
            <w:r>
              <w:t xml:space="preserve"> </w:t>
            </w:r>
            <w:r>
              <w:t xml:space="preserve">(Springer)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DANE, SBF, cognition du design analogique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Werner Nachtigall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Bionik: Grundlagen und Beispiele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1998/2002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École allemande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Neri Oxman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Material Ecology</w:t>
            </w:r>
            <w:r>
              <w:t xml:space="preserve"> </w:t>
            </w:r>
            <w:r>
              <w:t xml:space="preserve">(catalogue MoMA)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Frange design/matière/computation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Michael McDonough &amp; William Braungart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Cradle to Cradle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Champ adjacent indispensable (économie circulaire)</w:t>
            </w:r>
          </w:p>
        </w:tc>
      </w:tr>
    </w:tbl>
    <w:bookmarkEnd w:id="24"/>
    <w:bookmarkStart w:id="25" w:name="ouvrages-de-référence-francophone"/>
    <w:p>
      <w:pPr>
        <w:pStyle w:val="Heading3"/>
      </w:pPr>
      <w:r>
        <w:t xml:space="preserve">3.2 Ouvrages de référence — francophone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Auteur(s)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Éditeur / Année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Gauthier Chapelle &amp; Kalina Raskin (dir.)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Humanité bio-inspirée : une autre approche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Cherche Midi, 2020 — publié avec l’exposition permanente</w:t>
            </w:r>
            <w:r>
              <w:t xml:space="preserve"> </w:t>
            </w:r>
            <w:r>
              <w:rPr>
                <w:iCs/>
                <w:i/>
              </w:rPr>
              <w:t xml:space="preserve">Bio-inspirée</w:t>
            </w:r>
            <w:r>
              <w:t xml:space="preserve"> </w:t>
            </w:r>
            <w:r>
              <w:t xml:space="preserve">de la Cité des sciences. Contributions de Bihouix, Bourg, Grandcolas, Livage, Delannoy, Viollet, Berthier, Billon…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Gauthier Chapelle &amp; Michèle Decoust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Le vivant comme modèle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Albin Michel, 2015 (préface Nicolas Hulot / Jean-Marie Pelt)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Sabah Rahmani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Paroles de nature</w:t>
            </w:r>
            <w:r>
              <w:t xml:space="preserve"> </w:t>
            </w:r>
            <w:r>
              <w:t xml:space="preserve">/ ouvrages de vulgarisation biomimétisme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Idriss Aberkane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Libérez votre cerveau</w:t>
            </w:r>
            <w:r>
              <w:t xml:space="preserve"> </w:t>
            </w:r>
            <w:r>
              <w:t xml:space="preserve">/ conférences sur la « biomimétique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manier avec précaution — forte contestation académique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Emmanuel Delannoy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L’économie expliquée aux humains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Cs/>
                <w:i/>
              </w:rPr>
              <w:t xml:space="preserve">Permaéconomie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Wildproject, 2011/2014 — transfert au niveau organisationnel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Ceebios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Rapport Biomimétisme en France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Ceebios, 2019-2024 (rééditions) — panorama des acteurs, plan d’action éducation/recherche/industrie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Ceebios / ADEME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Rapports thématiques (bâtiment, matériaux, territoires)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ligne, gratuits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CNRS / MNHN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Dossiers</w:t>
            </w:r>
            <w:r>
              <w:t xml:space="preserve"> </w:t>
            </w:r>
            <w:r>
              <w:rPr>
                <w:iCs/>
                <w:i/>
              </w:rPr>
              <w:t xml:space="preserve">Biomimétisme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Ressources pédagogiques ouvertes</w:t>
            </w:r>
          </w:p>
        </w:tc>
      </w:tr>
    </w:tbl>
    <w:p>
      <w:pPr>
        <w:pStyle w:val="BlockText"/>
      </w:pPr>
      <w:r>
        <w:t xml:space="preserve">⚠️ Deux ouvrages francophones souvent cités dans la littérature grand public (Aberkane) ne font pas consensus académique. À citer, si nécessaire, comme objets de la sociologie du champ, pas comme sources.</w:t>
      </w:r>
    </w:p>
    <w:bookmarkEnd w:id="25"/>
    <w:bookmarkStart w:id="26" w:name="X7397f1cb8c867c46ff8707dbcc6d58743c64f5b"/>
    <w:p>
      <w:pPr>
        <w:pStyle w:val="Heading3"/>
      </w:pPr>
      <w:r>
        <w:t xml:space="preserve">3.3 Articles de revue et méta-analyses à lire en priorité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Vincent, J.F.V. et al. (2006)</w:t>
      </w:r>
      <w:r>
        <w:t xml:space="preserve">, « Biomimetics: its practice and theory »,</w:t>
      </w:r>
      <w:r>
        <w:t xml:space="preserve"> </w:t>
      </w:r>
      <w:r>
        <w:rPr>
          <w:iCs/>
          <w:i/>
        </w:rPr>
        <w:t xml:space="preserve">J. R. Soc. Interface</w:t>
      </w:r>
      <w:r>
        <w:t xml:space="preserve"> </w:t>
      </w:r>
      <w:r>
        <w:t xml:space="preserve">3(9) — l’article séminal sur l’écart entre solutions techniques et biologiques ; naissance de BioTRIZ.</w:t>
      </w:r>
      <w:r>
        <w:t xml:space="preserve"> </w:t>
      </w:r>
      <w:r>
        <w:rPr>
          <w:bCs/>
          <w:b/>
        </w:rPr>
        <w:t xml:space="preserve">Point d’entrée n°1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Helms, M., Vattam, S., Goel, A. (2009)</w:t>
      </w:r>
      <w:r>
        <w:t xml:space="preserve">, « Biologically inspired design: process and products »,</w:t>
      </w:r>
      <w:r>
        <w:t xml:space="preserve"> </w:t>
      </w:r>
      <w:r>
        <w:rPr>
          <w:iCs/>
          <w:i/>
        </w:rPr>
        <w:t xml:space="preserve">Design Studies</w:t>
      </w:r>
      <w:r>
        <w:t xml:space="preserve"> </w:t>
      </w:r>
      <w:r>
        <w:t xml:space="preserve">30(5) — la distinction</w:t>
      </w:r>
      <w:r>
        <w:t xml:space="preserve"> </w:t>
      </w:r>
      <w:r>
        <w:rPr>
          <w:iCs/>
          <w:i/>
        </w:rPr>
        <w:t xml:space="preserve">problem-driven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solution-driven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Fayemi, P.-E., Wanieck, K., Zollfrank, C., Maranzana, N., Aoussat, A. (2017)</w:t>
      </w:r>
      <w:r>
        <w:t xml:space="preserve">, « Biomimetics: process, tools and practice »,</w:t>
      </w:r>
      <w:r>
        <w:t xml:space="preserve"> </w:t>
      </w:r>
      <w:r>
        <w:rPr>
          <w:iCs/>
          <w:i/>
        </w:rPr>
        <w:t xml:space="preserve">Bioinspiration &amp; Biomimetics</w:t>
      </w:r>
      <w:r>
        <w:t xml:space="preserve"> </w:t>
      </w:r>
      <w:r>
        <w:t xml:space="preserve">12(1) — cartographie des méthodes et outils.</w:t>
      </w:r>
      <w:r>
        <w:t xml:space="preserve"> </w:t>
      </w:r>
      <w:r>
        <w:rPr>
          <w:bCs/>
          <w:b/>
        </w:rPr>
        <w:t xml:space="preserve">Référence francophone majeure (Arts et Métiers)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Wanieck, K. et al. (2017, 2020)</w:t>
      </w:r>
      <w:r>
        <w:t xml:space="preserve">, revues sur les outils biomimétiques et leur adoption industrielle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Pedersen Zari, M. (2007, 2018)</w:t>
      </w:r>
      <w:r>
        <w:t xml:space="preserve"> </w:t>
      </w:r>
      <w:r>
        <w:t xml:space="preserve">— niveaux et dimensions du biomimétisme en architecture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Marques de Sá, A. &amp; Viana, D. (2023)</w:t>
      </w:r>
      <w:r>
        <w:t xml:space="preserve">, « Design and Biomimicry: A Review of Interconnections and Creative Potentials »,</w:t>
      </w:r>
      <w:r>
        <w:t xml:space="preserve"> </w:t>
      </w:r>
      <w:r>
        <w:rPr>
          <w:iCs/>
          <w:i/>
        </w:rPr>
        <w:t xml:space="preserve">Biomimetics</w:t>
      </w:r>
      <w:r>
        <w:t xml:space="preserve"> </w:t>
      </w:r>
      <w:r>
        <w:t xml:space="preserve">8(1):61 — revue systématique bibliométrique 1991–2021, 196 publications Web of Science, analyses de citation/co-citation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Verbrugghe, N., Rubinacci, E., Khan, A.Z. (2023)</w:t>
      </w:r>
      <w:r>
        <w:t xml:space="preserve">, « Biomimicry in Architecture: A Review of Definitions, Case Studies and Design Methods »,</w:t>
      </w:r>
      <w:r>
        <w:t xml:space="preserve"> </w:t>
      </w:r>
      <w:r>
        <w:rPr>
          <w:iCs/>
          <w:i/>
        </w:rPr>
        <w:t xml:space="preserve">Biomimetics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Uchiyama, Y., Blanco, E., Kohsaka, R. (2020)</w:t>
      </w:r>
      <w:r>
        <w:t xml:space="preserve">, « Application of Biomimetics to Architectural and Urban Design: A Review across Scales »,</w:t>
      </w:r>
      <w:r>
        <w:t xml:space="preserve"> </w:t>
      </w:r>
      <w:r>
        <w:rPr>
          <w:iCs/>
          <w:i/>
        </w:rPr>
        <w:t xml:space="preserve">Sustainability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Aboulnaga, M. &amp; Helmy, S.E. (2022)</w:t>
      </w:r>
      <w:r>
        <w:t xml:space="preserve">, « Biomimicry in Criticism: Argument, Defense, and the Direction Toward Sustainability », in</w:t>
      </w:r>
      <w:r>
        <w:t xml:space="preserve"> </w:t>
      </w:r>
      <w:r>
        <w:rPr>
          <w:iCs/>
          <w:i/>
        </w:rPr>
        <w:t xml:space="preserve">Biomimetic Architecture and Its Role in Developing Sustainable, Regenerative, and Livable Cities</w:t>
      </w:r>
      <w:r>
        <w:t xml:space="preserve">, Springer —</w:t>
      </w:r>
      <w:r>
        <w:t xml:space="preserve"> </w:t>
      </w:r>
      <w:r>
        <w:rPr>
          <w:bCs/>
          <w:b/>
        </w:rPr>
        <w:t xml:space="preserve">la synthèse critique de référence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Rahubadda, R.V.A.D. &amp; Kulatunga, U. (2025)</w:t>
      </w:r>
      <w:r>
        <w:t xml:space="preserve">, « Development of a new definition for biomimicry in the field of net-zero construction »,</w:t>
      </w:r>
      <w:r>
        <w:t xml:space="preserve"> </w:t>
      </w:r>
      <w:r>
        <w:rPr>
          <w:iCs/>
          <w:i/>
        </w:rPr>
        <w:t xml:space="preserve">Construction Innovation</w:t>
      </w:r>
      <w:r>
        <w:t xml:space="preserve"> </w:t>
      </w:r>
      <w:r>
        <w:t xml:space="preserve">— constate que l’intégration explicite du biomimétisme aux stratégies net-zéro reste sous-représentée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Speck, O. &amp; Speck, T. (2019, 2021)</w:t>
      </w:r>
      <w:r>
        <w:t xml:space="preserve"> </w:t>
      </w:r>
      <w:r>
        <w:t xml:space="preserve">— critères d’évaluation de la soutenabilité réelle des produits biomimétiques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normalisation-isotc-266"/>
    <w:p>
      <w:pPr>
        <w:pStyle w:val="Heading2"/>
      </w:pPr>
      <w:r>
        <w:t xml:space="preserve">4. Normalisation : ISO/TC 266</w:t>
      </w:r>
    </w:p>
    <w:p>
      <w:pPr>
        <w:pStyle w:val="FirstParagraph"/>
      </w:pPr>
      <w:r>
        <w:t xml:space="preserve">Le comité technique</w:t>
      </w:r>
      <w:r>
        <w:t xml:space="preserve"> </w:t>
      </w:r>
      <w:r>
        <w:rPr>
          <w:bCs/>
          <w:b/>
        </w:rPr>
        <w:t xml:space="preserve">ISO/TC 266 « Biomimetics »</w:t>
      </w:r>
      <w:r>
        <w:t xml:space="preserve"> </w:t>
      </w:r>
      <w:r>
        <w:t xml:space="preserve">(créé 2011, secrétariat DIN/Allemagne) est le socle normatif. Corpus publié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 18458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Biomimetics — Terminology, concepts and methodology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Définitions + processus de développement.</w:t>
            </w:r>
            <w:r>
              <w:t xml:space="preserve"> </w:t>
            </w:r>
            <w:r>
              <w:rPr>
                <w:bCs/>
                <w:b/>
              </w:rPr>
              <w:t xml:space="preserve">Le document de base</w:t>
            </w:r>
            <w:r>
              <w:t xml:space="preserve"> </w:t>
            </w:r>
            <w:r>
              <w:t xml:space="preserve">(25 p.)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 18459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Biomimetics — Biomimetic structural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Méthodes d’optimisation topologique bio-inspirée (SKO, CAO de Mattheck)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 18457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Biomimetics — Biomimetic materials, structures and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Caractérisation, méthodes de mesure, paramètres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ISO/TR 23845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Biomimetics — Ontology-Enhanced Thesaurus (OET)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Vocabulaire structuré pour la recherche d’analogies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ISO/TR 23846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Biomimetics — Image search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Recherche d’analogies par l’image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ISO/TR 23847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Biomimetics — Integrating problem- and function-oriented approaches applying the TRIZ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Pont formel entre TRIZ et biomimétique</w:t>
            </w:r>
          </w:p>
        </w:tc>
      </w:tr>
    </w:tbl>
    <w:p>
      <w:pPr>
        <w:pStyle w:val="BodyText"/>
      </w:pPr>
      <w:r>
        <w:rPr>
          <w:bCs/>
          <w:b/>
        </w:rPr>
        <w:t xml:space="preserve">Travaux futurs annoncés</w:t>
      </w:r>
      <w:r>
        <w:t xml:space="preserve"> </w:t>
      </w:r>
      <w:r>
        <w:t xml:space="preserve">: surfaces biomimétiques, fabrication biomimétique, technologies de test et d’optimisation. Un</w:t>
      </w:r>
      <w:r>
        <w:t xml:space="preserve"> </w:t>
      </w:r>
      <w:r>
        <w:rPr>
          <w:iCs/>
          <w:i/>
        </w:rPr>
        <w:t xml:space="preserve">Biomimetic Assessment Framework</w:t>
      </w:r>
      <w:r>
        <w:t xml:space="preserve"> </w:t>
      </w:r>
      <w:r>
        <w:t xml:space="preserve">est en développement (initiative canadienne) pour étendre les critères d’ISO 18458.</w:t>
      </w:r>
    </w:p>
    <w:p>
      <w:pPr>
        <w:pStyle w:val="BodyText"/>
      </w:pPr>
      <w:r>
        <w:rPr>
          <w:bCs/>
          <w:b/>
        </w:rPr>
        <w:t xml:space="preserve">Implication pratique</w:t>
      </w:r>
      <w:r>
        <w:t xml:space="preserve"> </w:t>
      </w:r>
      <w:r>
        <w:t xml:space="preserve">: si un projet revendique le qualificatif « biomimétique » sans avoir suivi le processus ISO 18458, l’affirmation est contestable. C’est le levier le plus efficace contre le biomorphisme déguisé.</w:t>
      </w:r>
    </w:p>
    <w:p>
      <w:r>
        <w:pict>
          <v:rect style="width:0;height:1.5pt" o:hralign="center" o:hrstd="t" o:hr="t"/>
        </w:pict>
      </w:r>
    </w:p>
    <w:bookmarkEnd w:id="28"/>
    <w:bookmarkStart w:id="32" w:name="méthodologies-et-outils-de-transfert"/>
    <w:p>
      <w:pPr>
        <w:pStyle w:val="Heading2"/>
      </w:pPr>
      <w:r>
        <w:t xml:space="preserve">5. Méthodologies et outils de transfert</w:t>
      </w:r>
    </w:p>
    <w:bookmarkStart w:id="29" w:name="Xbcabd13272fe4c52f00e7cf0ca2a862e30c5faa"/>
    <w:p>
      <w:pPr>
        <w:pStyle w:val="Heading3"/>
      </w:pPr>
      <w:r>
        <w:t xml:space="preserve">5.1 Les deux voies canoniques (Helms, Vattam &amp; Goel 2009)</w:t>
      </w:r>
    </w:p>
    <w:p>
      <w:pPr>
        <w:pStyle w:val="FirstParagraph"/>
      </w:pPr>
      <w:r>
        <w:rPr>
          <w:bCs/>
          <w:b/>
        </w:rPr>
        <w:t xml:space="preserve">Problem-driven (top-down)</w:t>
      </w:r>
      <w:r>
        <w:t xml:space="preserve"> </w:t>
      </w:r>
      <w:r>
        <w:t xml:space="preserve">— « Challenge to Biology »</w:t>
      </w:r>
      <w:r>
        <w:t xml:space="preserve"> </w:t>
      </w:r>
      <w:r>
        <w:t xml:space="preserve">1. Définition du problème</w:t>
      </w:r>
      <w:r>
        <w:t xml:space="preserve"> </w:t>
      </w:r>
      <w:r>
        <w:t xml:space="preserve">2. Reformulation biologique (</w:t>
      </w:r>
      <w:r>
        <w:rPr>
          <w:iCs/>
          <w:i/>
        </w:rPr>
        <w:t xml:space="preserve">biologize</w:t>
      </w:r>
      <w:r>
        <w:t xml:space="preserve"> </w:t>
      </w:r>
      <w:r>
        <w:t xml:space="preserve">the question)</w:t>
      </w:r>
      <w:r>
        <w:t xml:space="preserve"> </w:t>
      </w:r>
      <w:r>
        <w:t xml:space="preserve">3. Recherche d’analogies biologiques</w:t>
      </w:r>
      <w:r>
        <w:t xml:space="preserve"> </w:t>
      </w:r>
      <w:r>
        <w:t xml:space="preserve">4. Définition du principe biologique</w:t>
      </w:r>
      <w:r>
        <w:t xml:space="preserve"> </w:t>
      </w:r>
      <w:r>
        <w:t xml:space="preserve">5. Abstraction du principe</w:t>
      </w:r>
      <w:r>
        <w:t xml:space="preserve"> </w:t>
      </w:r>
      <w:r>
        <w:t xml:space="preserve">6. Transfert et application</w:t>
      </w:r>
      <w:r>
        <w:t xml:space="preserve"> </w:t>
      </w:r>
      <w:r>
        <w:t xml:space="preserve">7. Évaluation</w:t>
      </w:r>
    </w:p>
    <w:p>
      <w:pPr>
        <w:pStyle w:val="BodyText"/>
      </w:pPr>
      <w:r>
        <w:rPr>
          <w:bCs/>
          <w:b/>
        </w:rPr>
        <w:t xml:space="preserve">Solution-driven (bottom-up)</w:t>
      </w:r>
      <w:r>
        <w:t xml:space="preserve"> </w:t>
      </w:r>
      <w:r>
        <w:t xml:space="preserve">— « Biology to Design »</w:t>
      </w:r>
      <w:r>
        <w:t xml:space="preserve"> </w:t>
      </w:r>
      <w:r>
        <w:t xml:space="preserve">1. Découverte biologique</w:t>
      </w:r>
      <w:r>
        <w:t xml:space="preserve"> </w:t>
      </w:r>
      <w:r>
        <w:t xml:space="preserve">2. Définition du principe</w:t>
      </w:r>
      <w:r>
        <w:t xml:space="preserve"> </w:t>
      </w:r>
      <w:r>
        <w:t xml:space="preserve">3. Recherche d’un problème technique correspondant</w:t>
      </w:r>
      <w:r>
        <w:t xml:space="preserve"> </w:t>
      </w:r>
      <w:r>
        <w:t xml:space="preserve">4. Abstraction, transfert, application</w:t>
      </w:r>
    </w:p>
    <w:p>
      <w:pPr>
        <w:pStyle w:val="BodyText"/>
      </w:pPr>
      <w:r>
        <w:t xml:space="preserve">La littérature (Marques de Sá &amp; Viana 2023) montre une</w:t>
      </w:r>
      <w:r>
        <w:t xml:space="preserve"> </w:t>
      </w:r>
      <w:r>
        <w:rPr>
          <w:bCs/>
          <w:b/>
        </w:rPr>
        <w:t xml:space="preserve">domination nette de l’approche problem-driven</w:t>
      </w:r>
      <w:r>
        <w:t xml:space="preserve"> </w:t>
      </w:r>
      <w:r>
        <w:t xml:space="preserve">dans les publications design.</w:t>
      </w:r>
    </w:p>
    <w:bookmarkEnd w:id="29"/>
    <w:bookmarkStart w:id="30" w:name="cadres-méthodologiques-structurés"/>
    <w:p>
      <w:pPr>
        <w:pStyle w:val="Heading3"/>
      </w:pPr>
      <w:r>
        <w:t xml:space="preserve">5.2 Cadres méthodologiques structurés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Biomimicry Design Spiral</w:t>
      </w:r>
      <w:r>
        <w:t xml:space="preserve"> </w:t>
      </w:r>
      <w:r>
        <w:t xml:space="preserve">(Biomimicry 3.8) — Define / Biologize / Discover / Abstract / Emulate / Evaluate. Le plus diffusé en formation, le moins formalisé scientifiquement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BioTRIZ</w:t>
      </w:r>
      <w:r>
        <w:t xml:space="preserve"> </w:t>
      </w:r>
      <w:r>
        <w:t xml:space="preserve">(Vincent et al. 2006) — matrice de contradictions 6×6 (Substance, Structure, Espace, Temps, Énergie, Information). Constat fondateur : la technologie résout ~70 % des contradictions par l’énergie et les matériaux, le vivant par l’information et la structure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SAPPhIRE</w:t>
      </w:r>
      <w:r>
        <w:t xml:space="preserve"> </w:t>
      </w:r>
      <w:r>
        <w:t xml:space="preserve">(Chakrabarti et al., IISc Bangalore) — modèle causal State–Action–Part–Phenomenon–Input–oRgan–Effect ; base de données Idea-Inspire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SBF / DANE</w:t>
      </w:r>
      <w:r>
        <w:t xml:space="preserve"> </w:t>
      </w:r>
      <w:r>
        <w:t xml:space="preserve">(Goel, Georgia Tech) — Structure-Behavior-Function ;</w:t>
      </w:r>
      <w:r>
        <w:t xml:space="preserve"> </w:t>
      </w:r>
      <w:r>
        <w:rPr>
          <w:iCs/>
          <w:i/>
        </w:rPr>
        <w:t xml:space="preserve">Design by Analogy to Nature Engine</w:t>
      </w:r>
      <w:r>
        <w:t xml:space="preserve">, base de modèles fonctionnels du vivant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Modèle unifié de Fayemi et al. (2017)</w:t>
      </w:r>
      <w:r>
        <w:t xml:space="preserve"> </w:t>
      </w:r>
      <w:r>
        <w:t xml:space="preserve">— cartographie de 43 outils, distinguant outils d’analyse de problème, de recherche biologique, de transfert et d’évaluation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BioGen / Biomimicry Taxonomy</w:t>
      </w:r>
      <w:r>
        <w:t xml:space="preserve"> </w:t>
      </w:r>
      <w:r>
        <w:t xml:space="preserve">— taxonomie fonctionnelle en 8 groupes (Get/Store/Distribute resources, Protect from harm, Maintain physical integrity, Process information, Move, Make/Modify, Break down, Modify) : c’est la colonne vertébrale d’AskNature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Thinking Tools / Function-Behaviour-Structure de Gero</w:t>
      </w:r>
      <w:r>
        <w:t xml:space="preserve"> </w:t>
      </w:r>
      <w:r>
        <w:t xml:space="preserve">— cadre général de design réutilisé en biomimétique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CAO / SKO de Claus Mattheck</w:t>
      </w:r>
      <w:r>
        <w:t xml:space="preserve"> </w:t>
      </w:r>
      <w:r>
        <w:t xml:space="preserve">— Computer Aided Optimization et Soft Kill Option, méthodes d’optimisation topologique inspirées de la croissance des arbres et des os. Normalisées par ISO 18459. Directement implémentables</w:t>
      </w:r>
    </w:p>
    <w:bookmarkEnd w:id="30"/>
    <w:bookmarkStart w:id="31" w:name="bases-de-données-et-outils-logiciels"/>
    <w:p>
      <w:pPr>
        <w:pStyle w:val="Heading3"/>
      </w:pPr>
      <w:r>
        <w:t xml:space="preserve">5.3 Bases de données et outils logiciels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AskNature.org</w:t>
            </w:r>
            <w:r>
              <w:t xml:space="preserve"> </w:t>
            </w:r>
            <w:r>
              <w:t xml:space="preserve">(Biomimicry Institute)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 stratégies biologiques indexées par fonction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Gratuit, la ressource la plus utilisée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Asteria</w:t>
            </w:r>
            <w:r>
              <w:t xml:space="preserve"> </w:t>
            </w:r>
            <w:r>
              <w:t xml:space="preserve">(Ceebios × Anima)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Plateforme IA d’exploration de pistes bio-inspirées et de structuration des connaissances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Récent, francophone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BiOMIg</w:t>
            </w:r>
            <w:r>
              <w:t xml:space="preserve"> </w:t>
            </w:r>
            <w:r>
              <w:t xml:space="preserve">(Ceebios)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Bio-inspired Materials Open Innovation Generator</w:t>
            </w:r>
            <w:r>
              <w:t xml:space="preserve"> </w:t>
            </w:r>
            <w:r>
              <w:t xml:space="preserve">— screening systématique et caractérisation physico-chimique de milliers de modèles biologiques ; financement 2,2 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déploiement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Idea-Inspire</w:t>
            </w:r>
            <w:r>
              <w:t xml:space="preserve"> </w:t>
            </w:r>
            <w:r>
              <w:t xml:space="preserve">(IISc)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Recherche d’analogies via SAPPhIRE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Académique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DANE</w:t>
            </w:r>
            <w:r>
              <w:t xml:space="preserve"> </w:t>
            </w:r>
            <w:r>
              <w:t xml:space="preserve">(Georgia Tech)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Modèles SBF de systèmes biologiques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Académique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BioTRIZ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Outil papier / tableur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Biomimicry Toolbox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Ressources pédagogiques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BioinspiredLLM</w:t>
            </w:r>
            <w:r>
              <w:t xml:space="preserve"> </w:t>
            </w:r>
            <w:r>
              <w:t xml:space="preserve">(Luu &amp; Buehler, MIT)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conversationnel spécialisé mécanique des matériaux biologiques et bio-inspirés ; capacités de fouille de texte et de collaboration avec des modèles génératifs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 ouvert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BioSpark</w:t>
            </w:r>
            <w:r>
              <w:t xml:space="preserve"> </w:t>
            </w:r>
            <w:r>
              <w:t xml:space="preserve">(arXiv 2503.09838)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Transfert analogique augmenté par LLM au-delà de la simple inspiration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Recherche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PubMed / Web of Science / Scopus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Requêtes structurées (voir §12)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40" w:name="littérature-par-domaine-dapplication"/>
    <w:p>
      <w:pPr>
        <w:pStyle w:val="Heading2"/>
      </w:pPr>
      <w:r>
        <w:t xml:space="preserve">6. Littérature par domaine d’application</w:t>
      </w:r>
    </w:p>
    <w:bookmarkStart w:id="33" w:name="matériaux-surfaces-et-interfaces"/>
    <w:p>
      <w:pPr>
        <w:pStyle w:val="Heading3"/>
      </w:pPr>
      <w:r>
        <w:t xml:space="preserve">6.1 Matériaux, surfaces et interfaces</w:t>
      </w:r>
    </w:p>
    <w:p>
      <w:pPr>
        <w:pStyle w:val="FirstParagraph"/>
      </w:pPr>
      <w:r>
        <w:t xml:space="preserve">Le domaine le plus mature et le plus productif en publications.</w:t>
      </w:r>
    </w:p>
    <w:p>
      <w:pPr>
        <w:pStyle w:val="BodyText"/>
      </w:pPr>
      <w:r>
        <w:rPr>
          <w:bCs/>
          <w:b/>
        </w:rPr>
        <w:t xml:space="preserve">Cas d’école canoniques</w:t>
      </w:r>
      <w:r>
        <w:t xml:space="preserve"> </w:t>
      </w:r>
      <w:r>
        <w:t xml:space="preserve">(chacun a sa littérature primaire)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Effet lotus</w:t>
      </w:r>
      <w:r>
        <w:t xml:space="preserve"> </w:t>
      </w:r>
      <w:r>
        <w:t xml:space="preserve">— superhydrophobie, Barthlott &amp; Neinhuis (1997),</w:t>
      </w:r>
      <w:r>
        <w:t xml:space="preserve"> </w:t>
      </w:r>
      <w:r>
        <w:rPr>
          <w:iCs/>
          <w:i/>
        </w:rPr>
        <w:t xml:space="preserve">Planta</w:t>
      </w:r>
      <w:r>
        <w:t xml:space="preserve">. Origine des peintures Lotusan, textiles autonettoyants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Adhésion du gecko</w:t>
      </w:r>
      <w:r>
        <w:t xml:space="preserve"> </w:t>
      </w:r>
      <w:r>
        <w:t xml:space="preserve">— Autumn et al. (2000, 2002),</w:t>
      </w:r>
      <w:r>
        <w:t xml:space="preserve"> </w:t>
      </w:r>
      <w:r>
        <w:rPr>
          <w:iCs/>
          <w:i/>
        </w:rPr>
        <w:t xml:space="preserve">Nature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PNAS</w:t>
      </w:r>
      <w:r>
        <w:t xml:space="preserve"> </w:t>
      </w:r>
      <w:r>
        <w:t xml:space="preserve">; forces de van der Waals, adhésifs secs, Geckskin (UMass)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Peau de requin (riblets)</w:t>
      </w:r>
      <w:r>
        <w:t xml:space="preserve"> </w:t>
      </w:r>
      <w:r>
        <w:t xml:space="preserve">— Bechert et al. ; revêtements Speedo Fastskin, films aéronautiques (Lufthansa/BASF AeroSHARK, réduction de traînée ~1 %)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Nacre / structure brique-mortier</w:t>
      </w:r>
      <w:r>
        <w:t xml:space="preserve"> </w:t>
      </w:r>
      <w:r>
        <w:t xml:space="preserve">— Meyers, Ritchie, Barthelat ; céramiques tenaces, composites hiérarchiques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Soie d’araignée</w:t>
      </w:r>
      <w:r>
        <w:t xml:space="preserve"> </w:t>
      </w:r>
      <w:r>
        <w:t xml:space="preserve">— Buehler, Kaplan, Scheibel ; Bolt Threads, AMSilk, Spiber (production industrielle atteinte)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Couleurs structurelles</w:t>
      </w:r>
      <w:r>
        <w:t xml:space="preserve"> </w:t>
      </w:r>
      <w:r>
        <w:t xml:space="preserve">— Morpho, Serge Berthier (</w:t>
      </w:r>
      <w:r>
        <w:rPr>
          <w:iCs/>
          <w:i/>
        </w:rPr>
        <w:t xml:space="preserve">Iridescences</w:t>
      </w:r>
      <w:r>
        <w:t xml:space="preserve">, 2000) ; pigments sans pigment, affichage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Byssus de moule / DOPA</w:t>
      </w:r>
      <w:r>
        <w:t xml:space="preserve"> </w:t>
      </w:r>
      <w:r>
        <w:t xml:space="preserve">— adhésifs en milieu humide, colles chirurgicales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Bec du martin-pêcheur</w:t>
      </w:r>
      <w:r>
        <w:t xml:space="preserve"> </w:t>
      </w:r>
      <w:r>
        <w:t xml:space="preserve">— Shinkansen 500 (Nakatsu, JR West) : cas le plus cité, y compris à tort (l’attribution est plus nuancée que la légende)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Velcro</w:t>
      </w:r>
      <w:r>
        <w:t xml:space="preserve"> </w:t>
      </w:r>
      <w:r>
        <w:t xml:space="preserve">— de Mestral (1941/1955), le cas historique fondateur</w:t>
      </w:r>
    </w:p>
    <w:p>
      <w:pPr>
        <w:pStyle w:val="BodyText"/>
      </w:pPr>
      <w:r>
        <w:rPr>
          <w:bCs/>
          <w:b/>
        </w:rPr>
        <w:t xml:space="preserve">Revues récentes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Biomimicry at the nanoscale — a review of nanomaterials inspired by nature</w:t>
      </w:r>
      <w:r>
        <w:t xml:space="preserve">,</w:t>
      </w:r>
      <w:r>
        <w:t xml:space="preserve"> </w:t>
      </w:r>
      <w:r>
        <w:rPr>
          <w:bCs/>
          <w:b/>
        </w:rPr>
        <w:t xml:space="preserve">Nano Trends</w:t>
      </w:r>
      <w:r>
        <w:t xml:space="preserve"> </w:t>
      </w:r>
      <w:r>
        <w:t xml:space="preserve">(2025), open access : nanocomposites, polymères bio-inspirés, applications en délivrance ciblée de médicaments, environnement, énergie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Limax Biosciences</w:t>
      </w:r>
      <w:r>
        <w:t xml:space="preserve"> </w:t>
      </w:r>
      <w:r>
        <w:t xml:space="preserve">(Harvard) — adhésif chirurgical inspiré de la limace</w:t>
      </w:r>
      <w:r>
        <w:t xml:space="preserve"> </w:t>
      </w:r>
      <w:r>
        <w:rPr>
          <w:iCs/>
          <w:i/>
        </w:rPr>
        <w:t xml:space="preserve">Arion subfuscus</w:t>
      </w:r>
      <w:r>
        <w:t xml:space="preserve">, tenant sur tissu humide et mobile, biocompatible (2025)</w:t>
      </w:r>
    </w:p>
    <w:bookmarkEnd w:id="33"/>
    <w:bookmarkStart w:id="34" w:name="architecture-construction-urbanisme"/>
    <w:p>
      <w:pPr>
        <w:pStyle w:val="Heading3"/>
      </w:pPr>
      <w:r>
        <w:t xml:space="preserve">6.2 Architecture, construction, urbanisme</w:t>
      </w:r>
    </w:p>
    <w:p>
      <w:pPr>
        <w:pStyle w:val="FirstParagraph"/>
      </w:pPr>
      <w:r>
        <w:rPr>
          <w:bCs/>
          <w:b/>
        </w:rPr>
        <w:t xml:space="preserve">Revue systématique de référence</w:t>
      </w:r>
      <w:r>
        <w:t xml:space="preserve"> </w:t>
      </w:r>
      <w:r>
        <w:t xml:space="preserve">:</w:t>
      </w:r>
      <w:r>
        <w:t xml:space="preserve"> </w:t>
      </w:r>
      <w:r>
        <w:rPr>
          <w:iCs/>
          <w:i/>
        </w:rPr>
        <w:t xml:space="preserve">Applications of Biomimicry in Architecture, Construction and Civil Engineering</w:t>
      </w:r>
      <w:r>
        <w:t xml:space="preserve"> </w:t>
      </w:r>
      <w:r>
        <w:t xml:space="preserve">(2023, PMC10204470) — revue de la période 2000-2022, constate que le concept reste « large, relativement nouveau et abstrait », avec un déficit de connaissances sur l’implémentation effective.</w:t>
      </w:r>
    </w:p>
    <w:p>
      <w:pPr>
        <w:pStyle w:val="BodyText"/>
      </w:pPr>
      <w:r>
        <w:rPr>
          <w:bCs/>
          <w:b/>
        </w:rPr>
        <w:t xml:space="preserve">Cas canoniques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Eastgate Centre</w:t>
      </w:r>
      <w:r>
        <w:t xml:space="preserve">, Harare (Mick Pearce, 1996) — ventilation inspirée des termitières. À noter : la littérature récente montre que le modèle biologique de départ (termitières comme climatiseurs) était partiellement erroné — cas pédagogique majeur sur les risques de la transposition superficielle. Voir Turner &amp; Soar (2008)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Eden Project</w:t>
      </w:r>
      <w:r>
        <w:t xml:space="preserve"> </w:t>
      </w:r>
      <w:r>
        <w:t xml:space="preserve">(Grimshaw) — géométrie hexagonale/pentagonale, ETFE, savon et pollen comme modèles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Institute for Computational Design (ICD/ITKE)</w:t>
      </w:r>
      <w:r>
        <w:t xml:space="preserve">, Stuttgart — pavillons annuels : oursin, coléoptère, argyronète, mue de scarabée. Achim Menges, Jan Knippers.</w:t>
      </w:r>
      <w:r>
        <w:t xml:space="preserve"> </w:t>
      </w:r>
      <w:r>
        <w:rPr>
          <w:bCs/>
          <w:b/>
        </w:rPr>
        <w:t xml:space="preserve">Le corpus le plus rigoureux du domaine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Flectofin®</w:t>
      </w:r>
      <w:r>
        <w:t xml:space="preserve"> </w:t>
      </w:r>
      <w:r>
        <w:t xml:space="preserve">(Speck, Knippers) — charnière sans articulation inspirée de</w:t>
      </w:r>
      <w:r>
        <w:t xml:space="preserve"> </w:t>
      </w:r>
      <w:r>
        <w:rPr>
          <w:iCs/>
          <w:i/>
        </w:rPr>
        <w:t xml:space="preserve">Strelitzia reginae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Sahara Forest Project</w:t>
      </w:r>
      <w:r>
        <w:t xml:space="preserve"> </w:t>
      </w:r>
      <w:r>
        <w:t xml:space="preserve">(Pawlyn) — inspiration scarabée du Namib, systèmes en boucle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Esplanade / Gardens by the Bay</w:t>
      </w:r>
      <w:r>
        <w:t xml:space="preserve">, Singapour — Supertrees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Biomimicry Institute Co-Lab « Buildings, Cities and Infrastructure »</w:t>
      </w:r>
      <w:r>
        <w:t xml:space="preserve"> </w:t>
      </w:r>
      <w:r>
        <w:t xml:space="preserve">— lancé pour accélérer un basculement sectoriel vers l’infrastructure</w:t>
      </w:r>
      <w:r>
        <w:t xml:space="preserve"> </w:t>
      </w:r>
      <w:r>
        <w:rPr>
          <w:iCs/>
          <w:i/>
        </w:rPr>
        <w:t xml:space="preserve">nature-positive</w:t>
      </w:r>
    </w:p>
    <w:p>
      <w:pPr>
        <w:pStyle w:val="BodyText"/>
      </w:pPr>
      <w:r>
        <w:rPr>
          <w:bCs/>
          <w:b/>
        </w:rPr>
        <w:t xml:space="preserve">Concept clé émergent</w:t>
      </w:r>
      <w:r>
        <w:t xml:space="preserve"> </w:t>
      </w:r>
      <w:r>
        <w:t xml:space="preserve">: passage du</w:t>
      </w:r>
      <w:r>
        <w:t xml:space="preserve"> </w:t>
      </w:r>
      <w:r>
        <w:rPr>
          <w:iCs/>
          <w:i/>
        </w:rPr>
        <w:t xml:space="preserve">biomimétisme durable</w:t>
      </w:r>
      <w:r>
        <w:t xml:space="preserve"> </w:t>
      </w:r>
      <w:r>
        <w:t xml:space="preserve">au</w:t>
      </w:r>
      <w:r>
        <w:t xml:space="preserve"> </w:t>
      </w:r>
      <w:r>
        <w:rPr>
          <w:bCs/>
          <w:b/>
        </w:rPr>
        <w:t xml:space="preserve">design régénératif</w:t>
      </w:r>
      <w:r>
        <w:t xml:space="preserve"> </w:t>
      </w:r>
      <w:r>
        <w:t xml:space="preserve">— l’objectif n’est plus « faire moins de mal » mais restaurer activement les écosystèmes (Birkeland, Reed, Zari, Ken Yeang, McDonough).</w:t>
      </w:r>
    </w:p>
    <w:bookmarkEnd w:id="34"/>
    <w:bookmarkStart w:id="35" w:name="robotique-bio-inspirée"/>
    <w:p>
      <w:pPr>
        <w:pStyle w:val="Heading3"/>
      </w:pPr>
      <w:r>
        <w:t xml:space="preserve">6.3 Robotique bio-inspirée</w:t>
      </w:r>
    </w:p>
    <w:p>
      <w:pPr>
        <w:pStyle w:val="FirstParagraph"/>
      </w:pPr>
      <w:r>
        <w:t xml:space="preserve">Domaine en explosion. Revue</w:t>
      </w:r>
      <w:r>
        <w:t xml:space="preserve"> </w:t>
      </w:r>
      <w:r>
        <w:rPr>
          <w:iCs/>
          <w:i/>
        </w:rPr>
        <w:t xml:space="preserve">Biomimetic Intelligence and Robotics</w:t>
      </w:r>
      <w:r>
        <w:t xml:space="preserve"> </w:t>
      </w:r>
      <w:r>
        <w:t xml:space="preserve">(Elsevier) publie l’essentiel des synthèses.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Soft robotics</w:t>
      </w:r>
      <w:r>
        <w:t xml:space="preserve"> </w:t>
      </w:r>
      <w:r>
        <w:t xml:space="preserve">— Cecilia Laschi (pieuvre), Robert Wood (Harvard, insectes), Rolf Pfeifer (embodied intelligence)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Locomotion</w:t>
      </w:r>
      <w:r>
        <w:t xml:space="preserve"> </w:t>
      </w:r>
      <w:r>
        <w:t xml:space="preserve">— RoboBee, BionicKangaroo/Festo, Boston Dynamics (BigDog, Spot), robots serpentins (Choset, CMU)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Nage et vol</w:t>
      </w:r>
      <w:r>
        <w:t xml:space="preserve"> </w:t>
      </w:r>
      <w:r>
        <w:t xml:space="preserve">— robots aquatiques sauteurs (revues 2025), AUV inspirés du thon, ornithoptères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Mains dextres humanoïdes</w:t>
      </w:r>
      <w:r>
        <w:t xml:space="preserve"> </w:t>
      </w:r>
      <w:r>
        <w:t xml:space="preserve">— revues 2025 dans</w:t>
      </w:r>
      <w:r>
        <w:t xml:space="preserve"> </w:t>
      </w:r>
      <w:r>
        <w:rPr>
          <w:iCs/>
          <w:i/>
        </w:rPr>
        <w:t xml:space="preserve">Biomimetic Intelligence and Robotics</w:t>
      </w:r>
      <w:r>
        <w:t xml:space="preserve"> </w:t>
      </w:r>
      <w:r>
        <w:t xml:space="preserve">: mécanique, sémantique gestuelle, évaluation UX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Perception visuelle</w:t>
      </w:r>
      <w:r>
        <w:t xml:space="preserve"> </w:t>
      </w:r>
      <w:r>
        <w:t xml:space="preserve">— œil composé, vision événementielle (</w:t>
      </w:r>
      <w:r>
        <w:rPr>
          <w:iCs/>
          <w:i/>
        </w:rPr>
        <w:t xml:space="preserve">event cameras</w:t>
      </w:r>
      <w:r>
        <w:t xml:space="preserve">, inspirée de la rétine)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Essaims</w:t>
      </w:r>
      <w:r>
        <w:t xml:space="preserve"> </w:t>
      </w:r>
      <w:r>
        <w:t xml:space="preserve">— Sabine Hauert, Radhika Nagpal (Kilobots, Termes) ; stigmergie</w:t>
      </w:r>
    </w:p>
    <w:bookmarkEnd w:id="35"/>
    <w:bookmarkStart w:id="36" w:name="algorithmes-et-informatique-bio-inspirés"/>
    <w:p>
      <w:pPr>
        <w:pStyle w:val="Heading3"/>
      </w:pPr>
      <w:r>
        <w:t xml:space="preserve">6.4 Algorithmes et informatique bio-inspirés</w:t>
      </w:r>
    </w:p>
    <w:p>
      <w:pPr>
        <w:pStyle w:val="FirstParagraph"/>
      </w:pPr>
      <w:r>
        <w:t xml:space="preserve">Sous-champ souvent oublié des dossiers biomimétisme, alors qu’il est le plus mature en pratique — et directement exploitable côté développement.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Famille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 biologique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Références clés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Algorithmes génétiques / évolutionnaires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Sélection naturelle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Holland (1975), Goldberg (1989), Koza (programmation génétique)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 Colony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Phéromones des fourmis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Dorigo (1992, 1996)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Particle Swarm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Nuées d’oiseaux, bancs de poissons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Kennedy &amp; Eberhart (1995)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Réseaux de neurones artificiels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Neurone biologique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McCulloch &amp; Pitts (1943), Rosenblatt (1958), Hinton et 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Réseaux de neurones à impulsions (SNN)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Codage temporel neuronal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Maass (1997) ; neuromorphique : Loihi (Intel), SpiNNaker, TrueNorth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Systèmes immunitaires artificiels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Immunité adaptative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Forrest, de Castro &amp; Timmis (2002)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Slime mould computing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Physarum polycephalum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Nakagaki (2000), Adamatzky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Algorithmes de recuit / croissance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Thermodynamique, morphogenèse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Kirkpatrick (1983), Turing (1952 — morphogenèse)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Optimisation topologique CAO/SKO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Croissance osseuse et arborescente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Mattheck (1990s), ISO 18459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Cellular automata / L-systems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Développement des plantes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Lindenmayer (1968), Wolfram</w:t>
            </w:r>
          </w:p>
        </w:tc>
      </w:tr>
    </w:tbl>
    <w:p>
      <w:pPr>
        <w:pStyle w:val="BlockText"/>
      </w:pPr>
      <w:r>
        <w:rPr>
          <w:bCs/>
          <w:b/>
        </w:rPr>
        <w:t xml:space="preserve">Débat interne au champ</w:t>
      </w:r>
      <w:r>
        <w:t xml:space="preserve"> </w:t>
      </w:r>
      <w:r>
        <w:t xml:space="preserve">: beaucoup de ces « algorithmes métaheuristiques inspirés de la nature » ont fait l’objet d’une critique sévère (Sörensen, 2015, « Metaheuristics — the metaphor exposed »,</w:t>
      </w:r>
      <w:r>
        <w:t xml:space="preserve"> </w:t>
      </w:r>
      <w:r>
        <w:rPr>
          <w:iCs/>
          <w:i/>
        </w:rPr>
        <w:t xml:space="preserve">ITOR</w:t>
      </w:r>
      <w:r>
        <w:t xml:space="preserve">) : la métaphore biologique masquerait souvent l’absence de nouveauté algorithmique réelle. À lire absolument si le dossier touche à l’informatique.</w:t>
      </w:r>
    </w:p>
    <w:bookmarkEnd w:id="36"/>
    <w:bookmarkStart w:id="37" w:name="énergie-fluides-aérodynamique"/>
    <w:p>
      <w:pPr>
        <w:pStyle w:val="Heading3"/>
      </w:pPr>
      <w:r>
        <w:t xml:space="preserve">6.5 Énergie, fluides, aérodynamique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Tubercules de la baleine à bosse</w:t>
      </w:r>
      <w:r>
        <w:t xml:space="preserve"> </w:t>
      </w:r>
      <w:r>
        <w:t xml:space="preserve">— Fish &amp; Battle (1995) ; WhalePower, pales d’éoliennes et ventilateurs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Turbines à axe vertical en bancs de poissons</w:t>
      </w:r>
      <w:r>
        <w:t xml:space="preserve"> </w:t>
      </w:r>
      <w:r>
        <w:t xml:space="preserve">— Dabiri (Caltech),</w:t>
      </w:r>
      <w:r>
        <w:t xml:space="preserve"> </w:t>
      </w:r>
      <w:r>
        <w:rPr>
          <w:iCs/>
          <w:i/>
        </w:rPr>
        <w:t xml:space="preserve">Journal of Renewable and Sustainable Energy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Photosynthèse artificielle</w:t>
      </w:r>
      <w:r>
        <w:t xml:space="preserve"> </w:t>
      </w:r>
      <w:r>
        <w:t xml:space="preserve">— Nocera (leaf artificielle), Kanan ; conversion solaire→carburant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Cellules à colorant (DSSC/Grätzel)</w:t>
      </w:r>
      <w:r>
        <w:t xml:space="preserve"> </w:t>
      </w:r>
      <w:r>
        <w:t xml:space="preserve">— inspiration photosynthétique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Thermorégulation</w:t>
      </w:r>
      <w:r>
        <w:t xml:space="preserve"> </w:t>
      </w:r>
      <w:r>
        <w:t xml:space="preserve">— scarabée du Namib (récupération d’eau), fourmi argentée du Sahara (réflectance), termitières (ventilation passive)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Réduction de traînée</w:t>
      </w:r>
      <w:r>
        <w:t xml:space="preserve"> </w:t>
      </w:r>
      <w:r>
        <w:t xml:space="preserve">— riblets, peau de dauphin, plumes de hibou (réduction de bruit — Vestas, ventilateurs)</w:t>
      </w:r>
    </w:p>
    <w:bookmarkEnd w:id="37"/>
    <w:bookmarkStart w:id="38" w:name="chimie-médecine-santé"/>
    <w:p>
      <w:pPr>
        <w:pStyle w:val="Heading3"/>
      </w:pPr>
      <w:r>
        <w:t xml:space="preserve">6.6 Chimie, médecine, santé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Chimie douce</w:t>
      </w:r>
      <w:r>
        <w:t xml:space="preserve"> </w:t>
      </w:r>
      <w:r>
        <w:t xml:space="preserve">(Jacques Livage, Collège de France) — synthèse sol-gel à basse température, en conditions du vivant. Contribution française majeure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Biominéralisation</w:t>
      </w:r>
      <w:r>
        <w:t xml:space="preserve"> </w:t>
      </w:r>
      <w:r>
        <w:t xml:space="preserve">— Mann, Aizenberg (Harvard) ; coquilles, spicules, os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Ingénierie tissulaire et échafaudages biomimétiques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Systèmes de délivrance de médicaments</w:t>
      </w:r>
      <w:r>
        <w:t xml:space="preserve"> </w:t>
      </w:r>
      <w:r>
        <w:t xml:space="preserve">— nanoparticules camouflées par membranes cellulaires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Aiguilles indolores</w:t>
      </w:r>
      <w:r>
        <w:t xml:space="preserve"> </w:t>
      </w:r>
      <w:r>
        <w:t xml:space="preserve">inspirées du moustique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Endoscopes</w:t>
      </w:r>
      <w:r>
        <w:t xml:space="preserve"> </w:t>
      </w:r>
      <w:r>
        <w:t xml:space="preserve">inspirés du dard de la guêpe parasitoïde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Antibactériens mécaniques</w:t>
      </w:r>
      <w:r>
        <w:t xml:space="preserve"> </w:t>
      </w:r>
      <w:r>
        <w:t xml:space="preserve">— ailes de cigale et de libellule (surfaces nanostructurées bactéricides)</w:t>
      </w:r>
    </w:p>
    <w:bookmarkEnd w:id="38"/>
    <w:bookmarkStart w:id="39" w:name="environnement-agriculture-économie"/>
    <w:p>
      <w:pPr>
        <w:pStyle w:val="Heading3"/>
      </w:pPr>
      <w:r>
        <w:t xml:space="preserve">6.7 Environnement, agriculture, économie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PolyGone Systems</w:t>
      </w:r>
      <w:r>
        <w:t xml:space="preserve"> </w:t>
      </w:r>
      <w:r>
        <w:t xml:space="preserve">(2025) — « racines artificielles » inspirées des racines de plantes aquatiques flottantes, piégeant jusqu’à 98 % des microplastiques sans énergie additionnelle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Agriculture de conservation / agroforesterie</w:t>
      </w:r>
      <w:r>
        <w:t xml:space="preserve"> </w:t>
      </w:r>
      <w:r>
        <w:t xml:space="preserve">— imitation des écosystèmes forestiers ; Wes Jackson, Land Institute (Kernza, cultures pérennes)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Écologie industrielle et symbiose industrielle</w:t>
      </w:r>
      <w:r>
        <w:t xml:space="preserve"> </w:t>
      </w:r>
      <w:r>
        <w:t xml:space="preserve">— Kalundborg ; imitation des réseaux trophiques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Permaéconomie / économie régénérative</w:t>
      </w:r>
      <w:r>
        <w:t xml:space="preserve"> </w:t>
      </w:r>
      <w:r>
        <w:t xml:space="preserve">— Delannoy, Raworth (</w:t>
      </w:r>
      <w:r>
        <w:rPr>
          <w:iCs/>
          <w:i/>
        </w:rPr>
        <w:t xml:space="preserve">Doughnut Economics</w:t>
      </w:r>
      <w:r>
        <w:t xml:space="preserve">), Ellen MacArthur Foundation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Biomimétisme organisationnel</w:t>
      </w:r>
      <w:r>
        <w:t xml:space="preserve"> </w:t>
      </w:r>
      <w:r>
        <w:t xml:space="preserve">— holacratie, entreprises « vivantes », Frédéric Laloux (</w:t>
      </w:r>
      <w:r>
        <w:rPr>
          <w:iCs/>
          <w:i/>
        </w:rPr>
        <w:t xml:space="preserve">Reinventing Organizations</w:t>
      </w:r>
      <w:r>
        <w:t xml:space="preserve">). Domaine à fort risque de métaphore creuse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revues-bases-de-données-conférences"/>
    <w:p>
      <w:pPr>
        <w:pStyle w:val="Heading2"/>
      </w:pPr>
      <w:r>
        <w:t xml:space="preserve">7. Revues, bases de données, conférences</w:t>
      </w:r>
    </w:p>
    <w:bookmarkStart w:id="41" w:name="revues-spécialisées-cœur-du-champ"/>
    <w:p>
      <w:pPr>
        <w:pStyle w:val="Heading3"/>
      </w:pPr>
      <w:r>
        <w:t xml:space="preserve">Revues spécialisées (cœur du champ)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Éditeur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Bioinspiration &amp; Biomimetics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revue de référence historique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Biomimetics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access, très actif, nombreux numéros spéciaux (</w:t>
            </w:r>
            <w:r>
              <w:rPr>
                <w:iCs/>
                <w:i/>
              </w:rPr>
              <w:t xml:space="preserve">Advances in Biomimetics: The Power of Diversity</w:t>
            </w:r>
            <w:r>
              <w:t xml:space="preserve">, 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Journal of Bionic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Forte présence chinoise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Biomimetic Intelligence and Robotics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Elsevier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Robotique et IA bio-inspirées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Journal of the Royal Society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Royal Society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Publie les articles de méthode les plus cités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Advanced Materials / Advanced Functional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Matériaux bio-inspirés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Acta Biomaterialia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Elsevier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Biomatériaux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Nature Materials / 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Springer 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Résultats de rupture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Design Studies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Elsevier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Méthodologie du design bio-inspiré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Soft Robotics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Mary Ann Liebert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41"/>
    <w:bookmarkStart w:id="42" w:name="conférences-et-réseaux"/>
    <w:p>
      <w:pPr>
        <w:pStyle w:val="Heading3"/>
      </w:pPr>
      <w:r>
        <w:t xml:space="preserve">Conférences et réseaux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ICBE</w:t>
      </w:r>
      <w:r>
        <w:t xml:space="preserve"> </w:t>
      </w:r>
      <w:r>
        <w:t xml:space="preserve">— International Conference on Bionic Engineering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Living Machines</w:t>
      </w:r>
      <w:r>
        <w:t xml:space="preserve"> </w:t>
      </w:r>
      <w:r>
        <w:t xml:space="preserve">(Biomimetic and Biohybrid Systems), Springer LNAI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Biomim’expo</w:t>
      </w:r>
      <w:r>
        <w:t xml:space="preserve"> </w:t>
      </w:r>
      <w:r>
        <w:t xml:space="preserve">— Cité des sciences et de l’industrie, Paris.</w:t>
      </w:r>
      <w:r>
        <w:t xml:space="preserve"> </w:t>
      </w:r>
      <w:r>
        <w:rPr>
          <w:bCs/>
          <w:b/>
        </w:rPr>
        <w:t xml:space="preserve">Édition 2026 : 22-23 octobre</w:t>
      </w:r>
      <w:r>
        <w:t xml:space="preserve">, thème « Le biomimétisme passe à l’échelle »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ISBE</w:t>
      </w:r>
      <w:r>
        <w:t xml:space="preserve"> </w:t>
      </w:r>
      <w:r>
        <w:t xml:space="preserve">— International Society of Bionic Engineering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Biomimicry Global Design Challenge / Ray of Hope Accelerator</w:t>
      </w:r>
      <w:r>
        <w:t xml:space="preserve"> </w:t>
      </w:r>
      <w:r>
        <w:t xml:space="preserve">(Biomimicry Institute)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SPIE Smart Structures + NDE</w:t>
      </w:r>
      <w:r>
        <w:t xml:space="preserve"> </w:t>
      </w:r>
      <w:r>
        <w:t xml:space="preserve">— sessions bio-inspirées (Bar-Cohen)</w:t>
      </w:r>
    </w:p>
    <w:bookmarkEnd w:id="42"/>
    <w:bookmarkStart w:id="43" w:name="sources-grises-et-rapports"/>
    <w:p>
      <w:pPr>
        <w:pStyle w:val="Heading3"/>
      </w:pPr>
      <w:r>
        <w:t xml:space="preserve">Sources grises et rapports</w:t>
      </w:r>
    </w:p>
    <w:p>
      <w:pPr>
        <w:numPr>
          <w:ilvl w:val="0"/>
          <w:numId w:val="1010"/>
        </w:numPr>
        <w:pStyle w:val="Compact"/>
      </w:pPr>
      <w:r>
        <w:t xml:space="preserve">Ceebios —</w:t>
      </w:r>
      <w:r>
        <w:t xml:space="preserve"> </w:t>
      </w:r>
      <w:r>
        <w:rPr>
          <w:iCs/>
          <w:i/>
        </w:rPr>
        <w:t xml:space="preserve">Rapport Biomimétisme en France</w:t>
      </w:r>
      <w:r>
        <w:t xml:space="preserve">, cartographies régionales (Nouvelle-Aquitaine : plus de 175 équipes de recherche)</w:t>
      </w:r>
    </w:p>
    <w:p>
      <w:pPr>
        <w:numPr>
          <w:ilvl w:val="0"/>
          <w:numId w:val="1010"/>
        </w:numPr>
        <w:pStyle w:val="Compact"/>
      </w:pPr>
      <w:r>
        <w:t xml:space="preserve">ADEME — rapports transition écologique du bâtiment par le biomimétisme</w:t>
      </w:r>
    </w:p>
    <w:p>
      <w:pPr>
        <w:numPr>
          <w:ilvl w:val="0"/>
          <w:numId w:val="1010"/>
        </w:numPr>
        <w:pStyle w:val="Compact"/>
      </w:pPr>
      <w:r>
        <w:t xml:space="preserve">Fermanian Business &amp; Economic Institute (Point Loma) —</w:t>
      </w:r>
      <w:r>
        <w:t xml:space="preserve"> </w:t>
      </w:r>
      <w:r>
        <w:rPr>
          <w:iCs/>
          <w:i/>
        </w:rPr>
        <w:t xml:space="preserve">Global Biomimicry Efforts: An Economic Game Changer</w:t>
      </w:r>
      <w:r>
        <w:t xml:space="preserve"> </w:t>
      </w:r>
      <w:r>
        <w:t xml:space="preserve">(2010) : projections souvent citées (1 000 Md$ de PIB mondial, 35 Md$ pour les États-Unis, 1,6 M d’emplois à horizon 2025).</w:t>
      </w:r>
      <w:r>
        <w:t xml:space="preserve"> </w:t>
      </w:r>
      <w:r>
        <w:rPr>
          <w:bCs/>
          <w:b/>
        </w:rPr>
        <w:t xml:space="preserve">Ces chiffres sont des projections de 2010, jamais validées ex post — à citer avec prudence, voire à contester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écosystème-francophone-et-européen"/>
    <w:p>
      <w:pPr>
        <w:pStyle w:val="Heading2"/>
      </w:pPr>
      <w:r>
        <w:t xml:space="preserve">8. Écosystème francophone et européen</w:t>
      </w:r>
    </w:p>
    <w:bookmarkStart w:id="45" w:name="france"/>
    <w:p>
      <w:pPr>
        <w:pStyle w:val="Heading3"/>
      </w:pPr>
      <w:r>
        <w:t xml:space="preserve">France</w:t>
      </w:r>
    </w:p>
    <w:p>
      <w:pPr>
        <w:pStyle w:val="FirstParagraph"/>
      </w:pPr>
      <w:r>
        <w:rPr>
          <w:bCs/>
          <w:b/>
        </w:rPr>
        <w:t xml:space="preserve">Ceebios</w:t>
      </w:r>
      <w:r>
        <w:t xml:space="preserve"> </w:t>
      </w:r>
      <w:r>
        <w:t xml:space="preserve">(Centre d’études et d’expertise en biomimétisme), Senlis — pivot national.</w:t>
      </w:r>
      <w:r>
        <w:t xml:space="preserve"> </w:t>
      </w:r>
      <w:r>
        <w:t xml:space="preserve">- Directrice générale : Kalina Raskin ; présidence : Gilles Bœuf</w:t>
      </w:r>
      <w:r>
        <w:t xml:space="preserve"> </w:t>
      </w:r>
      <w:r>
        <w:t xml:space="preserve">- Missions : recherche, formation, accompagnement industriel, animation de réseau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Plateformes</w:t>
      </w:r>
      <w:r>
        <w:t xml:space="preserve"> </w:t>
      </w:r>
      <w:r>
        <w:t xml:space="preserve">:</w:t>
      </w:r>
      <w:r>
        <w:t xml:space="preserve"> </w:t>
      </w:r>
      <w:r>
        <w:rPr>
          <w:iCs/>
          <w:i/>
        </w:rPr>
        <w:t xml:space="preserve">Asteria</w:t>
      </w:r>
      <w:r>
        <w:t xml:space="preserve"> </w:t>
      </w:r>
      <w:r>
        <w:t xml:space="preserve">(IA + biomimétisme, avec Anima),</w:t>
      </w:r>
      <w:r>
        <w:t xml:space="preserve"> </w:t>
      </w:r>
      <w:r>
        <w:rPr>
          <w:iCs/>
          <w:i/>
        </w:rPr>
        <w:t xml:space="preserve">BiOMIg</w:t>
      </w:r>
      <w:r>
        <w:t xml:space="preserve"> </w:t>
      </w:r>
      <w:r>
        <w:t xml:space="preserve">(matériaux bio-inspirés, financement 2,2 M€)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Formations 2026</w:t>
      </w:r>
      <w:r>
        <w:t xml:space="preserve"> </w:t>
      </w:r>
      <w:r>
        <w:t xml:space="preserve">: cursus « Bâtiments, sites industriels, zones d’activités » (Paris, 10-12 juin 2026) ; « Bâtiments, quartiers, villes » (Bordeaux, 17-18 novembre 2026) ; MOOC gratuit « S’adapter au changement climatique avec les Solutions fondées sur la Nature » (diffusion 15 sept. 2026 – 1er mars 2027)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Créathons Biom’Impact</w:t>
      </w:r>
      <w:r>
        <w:t xml:space="preserve"> </w:t>
      </w:r>
      <w:r>
        <w:t xml:space="preserve">(avec MoHo, depuis 2022) : ~1 800 participants, 30 partenaires, 500 contributions à l’édition 2024</w:t>
      </w:r>
      <w:r>
        <w:t xml:space="preserve"> </w:t>
      </w:r>
      <w:r>
        <w:t xml:space="preserve">- Constat récurrent du Ceebios : malgré l’intérêt croissant, les initiatives de formation restent isolées et les</w:t>
      </w:r>
      <w:r>
        <w:t xml:space="preserve"> </w:t>
      </w:r>
      <w:r>
        <w:rPr>
          <w:bCs/>
          <w:b/>
        </w:rPr>
        <w:t xml:space="preserve">cursus diplômants manquent</w:t>
      </w:r>
      <w:r>
        <w:t xml:space="preserve"> </w:t>
      </w:r>
      <w:r>
        <w:t xml:space="preserve">en France</w:t>
      </w:r>
    </w:p>
    <w:p>
      <w:pPr>
        <w:pStyle w:val="BodyText"/>
      </w:pPr>
      <w:r>
        <w:rPr>
          <w:bCs/>
          <w:b/>
        </w:rPr>
        <w:t xml:space="preserve">Atouts français documentés</w:t>
      </w:r>
      <w:r>
        <w:t xml:space="preserve"> </w:t>
      </w:r>
      <w:r>
        <w:t xml:space="preserve">: ~10 % des espèces mondiales connues présentes sur le territoire (largement grâce aux outre-mer) ; 3e collection mondiale de spécimens via le MNHN ; environ 200 équipes de recherche.</w:t>
      </w:r>
    </w:p>
    <w:p>
      <w:pPr>
        <w:pStyle w:val="BodyText"/>
      </w:pPr>
      <w:r>
        <w:rPr>
          <w:bCs/>
          <w:b/>
        </w:rPr>
        <w:t xml:space="preserve">Autres acteurs</w:t>
      </w:r>
      <w:r>
        <w:t xml:space="preserve"> </w:t>
      </w:r>
      <w:r>
        <w:t xml:space="preserve">: MNHN, CNRS, INRAE, Arts et Métiers (LCPI — Fayemi, Maranzana, Aoussat), Université de Bordeaux / Nouvelle-Aquitaine, IMT, Ifremer, Biomimicry Europa.</w:t>
      </w:r>
    </w:p>
    <w:bookmarkEnd w:id="45"/>
    <w:bookmarkStart w:id="46" w:name="europe"/>
    <w:p>
      <w:pPr>
        <w:pStyle w:val="Heading3"/>
      </w:pPr>
      <w:r>
        <w:t xml:space="preserve">Europe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Allemagne</w:t>
      </w:r>
      <w:r>
        <w:t xml:space="preserve"> </w:t>
      </w:r>
      <w:r>
        <w:t xml:space="preserve">— le pôle le plus fort : Universität Freiburg (Thomas Speck, Plant Biomechanics Group), Universität Stuttgart (ITKE/ICD — Knippers, Menges), BIOKON (réseau bionique allemand), Fraunhofer, Festo Bionic Learning Network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Royaume-Uni</w:t>
      </w:r>
      <w:r>
        <w:t xml:space="preserve"> </w:t>
      </w:r>
      <w:r>
        <w:t xml:space="preserve">— Bath (Vincent), Bristol, Exeter Centre for Biomimetics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Pays-Bas / Belgique</w:t>
      </w:r>
      <w:r>
        <w:t xml:space="preserve"> </w:t>
      </w:r>
      <w:r>
        <w:t xml:space="preserve">— Wageningen, Bionics Group ; Biomimicry Europa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UE</w:t>
      </w:r>
      <w:r>
        <w:t xml:space="preserve"> </w:t>
      </w:r>
      <w:r>
        <w:t xml:space="preserve">— projets H2020/Horizon Europe :</w:t>
      </w:r>
      <w:r>
        <w:t xml:space="preserve"> </w:t>
      </w:r>
      <w:r>
        <w:rPr>
          <w:iCs/>
          <w:i/>
        </w:rPr>
        <w:t xml:space="preserve">Living Architecture</w:t>
      </w:r>
      <w:r>
        <w:t xml:space="preserve">,</w:t>
      </w:r>
      <w:r>
        <w:t xml:space="preserve"> </w:t>
      </w:r>
      <w:r>
        <w:rPr>
          <w:iCs/>
          <w:i/>
        </w:rPr>
        <w:t xml:space="preserve">Bio-inspired</w:t>
      </w:r>
      <w:r>
        <w:t xml:space="preserve"> </w:t>
      </w:r>
      <w:r>
        <w:t xml:space="preserve">calls, EIC Pathfinder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critiques-controverses-limites"/>
    <w:p>
      <w:pPr>
        <w:pStyle w:val="Heading2"/>
      </w:pPr>
      <w:r>
        <w:t xml:space="preserve">9. Critiques, controverses, limites</w:t>
      </w:r>
    </w:p>
    <w:p>
      <w:pPr>
        <w:pStyle w:val="FirstParagraph"/>
      </w:pPr>
      <w:r>
        <w:t xml:space="preserve">Un dossier de littérature qui ne les couvre pas est incomplet. Ce sont les sections les plus utiles pour tout travail académique.</w:t>
      </w:r>
    </w:p>
    <w:bookmarkStart w:id="48" w:name="critique-de-la-soutenabilité-automatique"/>
    <w:p>
      <w:pPr>
        <w:pStyle w:val="Heading3"/>
      </w:pPr>
      <w:r>
        <w:t xml:space="preserve">9.1 Critique de la soutenabilité automatique</w:t>
      </w:r>
    </w:p>
    <w:p>
      <w:pPr>
        <w:pStyle w:val="FirstParagraph"/>
      </w:pPr>
      <w:r>
        <w:rPr>
          <w:bCs/>
          <w:b/>
        </w:rPr>
        <w:t xml:space="preserve">Janis Birkeland</w:t>
      </w:r>
      <w:r>
        <w:t xml:space="preserve"> </w:t>
      </w:r>
      <w:r>
        <w:t xml:space="preserve">— argument central : appliqué dans un contexte de capitalisme de marché, le biomimétisme peut</w:t>
      </w:r>
      <w:r>
        <w:t xml:space="preserve"> </w:t>
      </w:r>
      <w:r>
        <w:rPr>
          <w:iCs/>
          <w:i/>
        </w:rPr>
        <w:t xml:space="preserve">perpétuer</w:t>
      </w:r>
      <w:r>
        <w:t xml:space="preserve"> </w:t>
      </w:r>
      <w:r>
        <w:t xml:space="preserve">la tendance à substituer à la nature des solutions techniques inutiles et intensives en ressources. Exemple : ajouter un ventilateur « bio-inspiré » très efficace plutôt que concevoir une ventilation naturelle passive. « Faire moins de mal » n’est pas suffisant : les conceptions doivent restaurer les écosystèmes.</w:t>
      </w:r>
    </w:p>
    <w:p>
      <w:pPr>
        <w:pStyle w:val="BodyText"/>
      </w:pPr>
      <w:r>
        <w:t xml:space="preserve">Rejoint par Ken Yeang et William McDonough (design régénératif).</w:t>
      </w:r>
    </w:p>
    <w:bookmarkEnd w:id="48"/>
    <w:bookmarkStart w:id="49" w:name="biomorphisme-et-greenwashing"/>
    <w:p>
      <w:pPr>
        <w:pStyle w:val="Heading3"/>
      </w:pPr>
      <w:r>
        <w:t xml:space="preserve">9.2 Biomorphisme et greenwashing</w:t>
      </w:r>
    </w:p>
    <w:p>
      <w:pPr>
        <w:pStyle w:val="FirstParagraph"/>
      </w:pPr>
      <w:r>
        <w:t xml:space="preserve">Reproche le plus fréquent : trop d’étudiants et de praticiens produisent des bâtiments vaguement végétaux et revendiquent des « points de durabilité » automatiques. La littérature en architecture d’intérieur note que le champ utilise souvent la biologie comme</w:t>
      </w:r>
      <w:r>
        <w:t xml:space="preserve"> </w:t>
      </w:r>
      <w:r>
        <w:rPr>
          <w:bCs/>
          <w:b/>
        </w:rPr>
        <w:t xml:space="preserve">bibliothèque de formes</w:t>
      </w:r>
      <w:r>
        <w:t xml:space="preserve">, ce qui n’est pas de la biomimétique — « il faut qu’il y ait de la biologie dedans ».</w:t>
      </w:r>
    </w:p>
    <w:p>
      <w:pPr>
        <w:pStyle w:val="BodyText"/>
      </w:pPr>
      <w:r>
        <w:t xml:space="preserve">Cadre analytique du greenwashing applicable (Sustainability 2024, MDPI,</w:t>
      </w:r>
      <w:r>
        <w:t xml:space="preserve"> </w:t>
      </w:r>
      <w:r>
        <w:rPr>
          <w:iCs/>
          <w:i/>
        </w:rPr>
        <w:t xml:space="preserve">Defining Greenwashing</w:t>
      </w:r>
      <w:r>
        <w:t xml:space="preserve">) : six critères cumulatifs — allégation environnementale, par une organisation privée, sur un produit/service, non étayable, avec intention trompeuse, pour un avantage concurrentiel.</w:t>
      </w:r>
    </w:p>
    <w:p>
      <w:pPr>
        <w:pStyle w:val="BodyText"/>
      </w:pPr>
      <w:r>
        <w:rPr>
          <w:bCs/>
          <w:b/>
        </w:rPr>
        <w:t xml:space="preserve">Distinction « biomimétisme fort » vs « faible »</w:t>
      </w:r>
      <w:r>
        <w:t xml:space="preserve"> </w:t>
      </w:r>
      <w:r>
        <w:t xml:space="preserve">(Aboulnaga &amp; Helmy 2022) 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Faible</w:t>
      </w:r>
      <w:r>
        <w:t xml:space="preserve"> </w:t>
      </w:r>
      <w:r>
        <w:t xml:space="preserve">— imitation de forme et d’efficacité, dans le cadre du système économique existant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Fort</w:t>
      </w:r>
      <w:r>
        <w:t xml:space="preserve"> </w:t>
      </w:r>
      <w:r>
        <w:t xml:space="preserve">— imitation des principes systémiques du vivant, impliquant une transformation des modèles économiques et de la relation aux écosystèmes</w:t>
      </w:r>
    </w:p>
    <w:bookmarkEnd w:id="49"/>
    <w:bookmarkStart w:id="50" w:name="limites-épistémologiques"/>
    <w:p>
      <w:pPr>
        <w:pStyle w:val="Heading3"/>
      </w:pPr>
      <w:r>
        <w:t xml:space="preserve">9.3 Limites épistémologiques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L’évolution n’optimise pas</w:t>
      </w:r>
      <w:r>
        <w:t xml:space="preserve"> </w:t>
      </w:r>
      <w:r>
        <w:t xml:space="preserve">— elle satisfait sous contraintes historiques (contingence phylogénétique, exaptations, compromis). Un trait biologique n’est pas nécessairement « la meilleure solution » à un problème d’ingénierie. Steven Vogel est le plus lucide là-dessus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Différences d’échelle et de régime physique</w:t>
      </w:r>
      <w:r>
        <w:t xml:space="preserve"> </w:t>
      </w:r>
      <w:r>
        <w:t xml:space="preserve">— les nombres de Reynolds, les rapports surface/volume, les régimes thermiques du vivant sont souvent hors du domaine des applications techniques visées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Différences de matériaux et de procédés</w:t>
      </w:r>
      <w:r>
        <w:t xml:space="preserve"> </w:t>
      </w:r>
      <w:r>
        <w:t xml:space="preserve">— la nature construit en conditions douces, additivement, avec un stock limité d’éléments ; l’industrie fait l’inverse. Le transfert n’est pas neutre en énergie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Modèles biologiques erronés</w:t>
      </w:r>
      <w:r>
        <w:t xml:space="preserve"> </w:t>
      </w:r>
      <w:r>
        <w:t xml:space="preserve">— le cas des termitières (Eastgate) montre qu’un transfert peut « fonctionner » tout en reposant sur une biologie fausse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Fragilité de l’abstraction</w:t>
      </w:r>
      <w:r>
        <w:t xml:space="preserve"> </w:t>
      </w:r>
      <w:r>
        <w:t xml:space="preserve">— le goulot d’étranglement du champ est l’étape 5 (abstraction du principe), la moins outillée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Reproductibilité et passage à l’échelle</w:t>
      </w:r>
      <w:r>
        <w:t xml:space="preserve"> </w:t>
      </w:r>
      <w:r>
        <w:t xml:space="preserve">— la littérature recense énormément de preuves de concept, très peu d’industrialisations. Les revues 2025 pointent systématiquement les limites matérielles et de scalabilité</w:t>
      </w:r>
    </w:p>
    <w:bookmarkEnd w:id="50"/>
    <w:bookmarkStart w:id="51" w:name="enjeux-juridiques-et-éthiques"/>
    <w:p>
      <w:pPr>
        <w:pStyle w:val="Heading3"/>
      </w:pPr>
      <w:r>
        <w:t xml:space="preserve">9.4 Enjeux juridiques et éthiques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Protocole de Nagoya (2010)</w:t>
      </w:r>
      <w:r>
        <w:t xml:space="preserve"> </w:t>
      </w:r>
      <w:r>
        <w:t xml:space="preserve">sur l’accès aux ressources génétiques et le partage des avantages (APA/ABS) — s’applique au biomimétisme dès qu’il y a accès à une ressource biologique. Question du</w:t>
      </w:r>
      <w:r>
        <w:t xml:space="preserve"> </w:t>
      </w:r>
      <w:r>
        <w:rPr>
          <w:bCs/>
          <w:b/>
        </w:rPr>
        <w:t xml:space="preserve">biopiratage</w:t>
      </w:r>
      <w:r>
        <w:t xml:space="preserve"> </w:t>
      </w:r>
      <w:r>
        <w:t xml:space="preserve">: à qui appartient un principe extrait d’un organisme d’un pays du Sud ?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Brevetabilité</w:t>
      </w:r>
      <w:r>
        <w:t xml:space="preserve"> </w:t>
      </w:r>
      <w:r>
        <w:t xml:space="preserve">— un principe naturel n’est pas brevetable ; son abstraction technique l’est. Zone grise importante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Anthropocentrisme</w:t>
      </w:r>
      <w:r>
        <w:t xml:space="preserve"> </w:t>
      </w:r>
      <w:r>
        <w:t xml:space="preserve">— critique venue de l’écologie politique : instrumentaliser le vivant comme « laboratoire de R&amp;D gratuit » reste dans un rapport extractiviste, quelle que soit la rhétorique</w:t>
      </w:r>
    </w:p>
    <w:bookmarkEnd w:id="51"/>
    <w:bookmarkStart w:id="52" w:name="X13e2d91c7173a9d6912c5935fd8e39a93c29420"/>
    <w:p>
      <w:pPr>
        <w:pStyle w:val="Heading3"/>
      </w:pPr>
      <w:r>
        <w:t xml:space="preserve">9.5 Critique interne à l’informatique bio-inspirée</w:t>
      </w:r>
    </w:p>
    <w:p>
      <w:pPr>
        <w:pStyle w:val="FirstParagraph"/>
      </w:pPr>
      <w:r>
        <w:t xml:space="preserve">Sörensen (2015) et la vague de « novel metaheuristics » : la prolifération d’algorithmes nommés d’après des animaux (loup gris, chauve-souris, luciole, baleine…) sans contribution algorithmique réelle est devenue un problème de qualité éditoriale reconnu. Utile comme cas d’école de dérive métaphorique.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fronts-de-recherche-20242026"/>
    <w:p>
      <w:pPr>
        <w:pStyle w:val="Heading2"/>
      </w:pPr>
      <w:r>
        <w:t xml:space="preserve">10. Fronts de recherche 2024–2026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IA générative appliquée au transfert biomimétique</w:t>
      </w:r>
    </w:p>
    <w:p>
      <w:pPr>
        <w:numPr>
          <w:ilvl w:val="1"/>
          <w:numId w:val="1015"/>
        </w:numPr>
        <w:pStyle w:val="Compact"/>
      </w:pPr>
      <w:r>
        <w:rPr>
          <w:iCs/>
          <w:i/>
        </w:rPr>
        <w:t xml:space="preserve">BioinspiredLLM</w:t>
      </w:r>
      <w:r>
        <w:t xml:space="preserve"> </w:t>
      </w:r>
      <w:r>
        <w:t xml:space="preserve">(Luu &amp; Buehler, MIT) — LLM conversationnel spécialisé en mécanique des matériaux biologiques et bio-inspirés, avec distillation Q-R, capable de collaborer avec des modèles génératifs pour réduire drastiquement le temps de conception</w:t>
      </w:r>
    </w:p>
    <w:p>
      <w:pPr>
        <w:numPr>
          <w:ilvl w:val="1"/>
          <w:numId w:val="1015"/>
        </w:numPr>
        <w:pStyle w:val="Compact"/>
      </w:pPr>
      <w:r>
        <w:rPr>
          <w:iCs/>
          <w:i/>
        </w:rPr>
        <w:t xml:space="preserve">BioSpark</w:t>
      </w:r>
      <w:r>
        <w:t xml:space="preserve"> </w:t>
      </w:r>
      <w:r>
        <w:t xml:space="preserve">(arXiv 2503.09838, 2025) — transfert analogique augmenté par LLM, au-delà de la simple inspiration</w:t>
      </w:r>
    </w:p>
    <w:p>
      <w:pPr>
        <w:numPr>
          <w:ilvl w:val="1"/>
          <w:numId w:val="1015"/>
        </w:numPr>
        <w:pStyle w:val="Compact"/>
      </w:pPr>
      <w:r>
        <w:rPr>
          <w:iCs/>
          <w:i/>
        </w:rPr>
        <w:t xml:space="preserve">Asteria</w:t>
      </w:r>
      <w:r>
        <w:t xml:space="preserve"> </w:t>
      </w:r>
      <w:r>
        <w:t xml:space="preserve">(Ceebios × Anima) — structuration des connaissances et sécurisation des démarches d’innovation bio-inspirée</w:t>
      </w:r>
    </w:p>
    <w:p>
      <w:pPr>
        <w:numPr>
          <w:ilvl w:val="1"/>
          <w:numId w:val="1015"/>
        </w:numPr>
        <w:pStyle w:val="Compact"/>
      </w:pPr>
      <w:r>
        <w:t xml:space="preserve">Question ouverte : l’IA résout-elle enfin le goulot d’étranglement de la</w:t>
      </w:r>
      <w:r>
        <w:t xml:space="preserve"> </w:t>
      </w:r>
      <w:r>
        <w:rPr>
          <w:bCs/>
          <w:b/>
        </w:rPr>
        <w:t xml:space="preserve">recherche d’analogies</w:t>
      </w:r>
      <w:r>
        <w:t xml:space="preserve"> </w:t>
      </w:r>
      <w:r>
        <w:t xml:space="preserve">et de l’</w:t>
      </w:r>
      <w:r>
        <w:rPr>
          <w:bCs/>
          <w:b/>
        </w:rPr>
        <w:t xml:space="preserve">abstraction</w:t>
      </w:r>
      <w:r>
        <w:t xml:space="preserve"> </w:t>
      </w:r>
      <w:r>
        <w:t xml:space="preserve">?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Matériaux vivants ingéniérés (ELM)</w:t>
      </w:r>
      <w:r>
        <w:t xml:space="preserve"> </w:t>
      </w:r>
      <w:r>
        <w:t xml:space="preserve">— mycélium (Ecovative, Mogu), bétons auto-cicatrisants bactériens, matériaux photosynthétiques. Passage de la bio-inspiration à la bio-utilisation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Composites tout-biomasse</w:t>
      </w:r>
      <w:r>
        <w:t xml:space="preserve"> </w:t>
      </w:r>
      <w:r>
        <w:t xml:space="preserve">— légers, haute résistance, issus de déchets agricoles (paille, branches), motivés par le remplacement des plastiques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Nature-positive / régénératif à l’échelle du bâti</w:t>
      </w:r>
      <w:r>
        <w:t xml:space="preserve"> </w:t>
      </w:r>
      <w:r>
        <w:t xml:space="preserve">— Co-Lab « Buildings, Cities and Infrastructure » du Biomimicry Institute ; débat sur la définition du biomimétisme en contexte net-zéro (Rahubadda &amp; Kulatunga 2025)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Neuromorphique et SNN</w:t>
      </w:r>
      <w:r>
        <w:t xml:space="preserve"> </w:t>
      </w:r>
      <w:r>
        <w:t xml:space="preserve">— matériel inspiré du cerveau, efficience énergétique de l’IA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Nanomatériaux bio-inspirés</w:t>
      </w:r>
      <w:r>
        <w:t xml:space="preserve"> </w:t>
      </w:r>
      <w:r>
        <w:t xml:space="preserve">— délivrance ciblée, dépollution, énergie (revue</w:t>
      </w:r>
      <w:r>
        <w:t xml:space="preserve"> </w:t>
      </w:r>
      <w:r>
        <w:rPr>
          <w:iCs/>
          <w:i/>
        </w:rPr>
        <w:t xml:space="preserve">Nano Trends</w:t>
      </w:r>
      <w:r>
        <w:t xml:space="preserve"> </w:t>
      </w:r>
      <w:r>
        <w:t xml:space="preserve">2025)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Adhésifs et interfaces biomédicales</w:t>
      </w:r>
      <w:r>
        <w:t xml:space="preserve"> </w:t>
      </w:r>
      <w:r>
        <w:t xml:space="preserve">— colles chirurgicales inspirées de la limace, du byssus, du gecko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Consolidation méthodologique</w:t>
      </w:r>
      <w:r>
        <w:t xml:space="preserve"> </w:t>
      </w:r>
      <w:r>
        <w:t xml:space="preserve">— extension des normes ISO (surfaces, fabrication, tests),</w:t>
      </w:r>
      <w:r>
        <w:t xml:space="preserve"> </w:t>
      </w:r>
      <w:r>
        <w:rPr>
          <w:iCs/>
          <w:i/>
        </w:rPr>
        <w:t xml:space="preserve">Biomimetic Assessment Framework</w:t>
      </w:r>
      <w:r>
        <w:t xml:space="preserve">, définitions sectorielles</w:t>
      </w:r>
    </w:p>
    <w:p>
      <w:r>
        <w:pict>
          <v:rect style="width:0;height:1.5pt" o:hralign="center" o:hrstd="t" o:hr="t"/>
        </w:pict>
      </w:r>
    </w:p>
    <w:bookmarkEnd w:id="54"/>
    <w:bookmarkStart w:id="65" w:name="bibliographie-structurée"/>
    <w:p>
      <w:pPr>
        <w:pStyle w:val="Heading2"/>
      </w:pPr>
      <w:r>
        <w:t xml:space="preserve">11. Bibliographie structurée</w:t>
      </w:r>
    </w:p>
    <w:bookmarkStart w:id="55" w:name="normes"/>
    <w:p>
      <w:pPr>
        <w:pStyle w:val="Heading3"/>
      </w:pPr>
      <w:r>
        <w:t xml:space="preserve">11.1 Normes</w:t>
      </w:r>
    </w:p>
    <w:p>
      <w:pPr>
        <w:numPr>
          <w:ilvl w:val="0"/>
          <w:numId w:val="1016"/>
        </w:numPr>
        <w:pStyle w:val="Compact"/>
      </w:pPr>
      <w:r>
        <w:t xml:space="preserve">ISO 18458:2015 —</w:t>
      </w:r>
      <w:r>
        <w:t xml:space="preserve"> </w:t>
      </w:r>
      <w:r>
        <w:rPr>
          <w:iCs/>
          <w:i/>
        </w:rPr>
        <w:t xml:space="preserve">Biomimetics — Terminology, concepts and methodology</w:t>
      </w:r>
      <w:r>
        <w:t xml:space="preserve">. ISO/TC 266, Genève.</w:t>
      </w:r>
    </w:p>
    <w:p>
      <w:pPr>
        <w:numPr>
          <w:ilvl w:val="0"/>
          <w:numId w:val="1016"/>
        </w:numPr>
        <w:pStyle w:val="Compact"/>
      </w:pPr>
      <w:r>
        <w:t xml:space="preserve">ISO 18459:2015 —</w:t>
      </w:r>
      <w:r>
        <w:t xml:space="preserve"> </w:t>
      </w:r>
      <w:r>
        <w:rPr>
          <w:iCs/>
          <w:i/>
        </w:rPr>
        <w:t xml:space="preserve">Biomimetics — Biomimetic structural optimization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ISO 18457:2016 —</w:t>
      </w:r>
      <w:r>
        <w:t xml:space="preserve"> </w:t>
      </w:r>
      <w:r>
        <w:rPr>
          <w:iCs/>
          <w:i/>
        </w:rPr>
        <w:t xml:space="preserve">Biomimetics — Biomimetic materials, structures and components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ISO/TR 23845:2020 —</w:t>
      </w:r>
      <w:r>
        <w:t xml:space="preserve"> </w:t>
      </w:r>
      <w:r>
        <w:rPr>
          <w:iCs/>
          <w:i/>
        </w:rPr>
        <w:t xml:space="preserve">Biomimetics — Ontology-Enhanced Thesaurus (OET)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ISO/TR 23846:2022 —</w:t>
      </w:r>
      <w:r>
        <w:t xml:space="preserve"> </w:t>
      </w:r>
      <w:r>
        <w:rPr>
          <w:iCs/>
          <w:i/>
        </w:rPr>
        <w:t xml:space="preserve">Biomimetics — Image search engine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ISO/TR 23847:2022 —</w:t>
      </w:r>
      <w:r>
        <w:t xml:space="preserve"> </w:t>
      </w:r>
      <w:r>
        <w:rPr>
          <w:iCs/>
          <w:i/>
        </w:rPr>
        <w:t xml:space="preserve">Biomimetics — Integrating problem- and function-oriented approaches applying the TRIZ method</w:t>
      </w:r>
      <w:r>
        <w:t xml:space="preserve">.</w:t>
      </w:r>
    </w:p>
    <w:bookmarkEnd w:id="55"/>
    <w:bookmarkStart w:id="56" w:name="fondations-conceptuelles"/>
    <w:p>
      <w:pPr>
        <w:pStyle w:val="Heading3"/>
      </w:pPr>
      <w:r>
        <w:t xml:space="preserve">11.2 Fondations conceptuelles</w:t>
      </w:r>
    </w:p>
    <w:p>
      <w:pPr>
        <w:numPr>
          <w:ilvl w:val="0"/>
          <w:numId w:val="1017"/>
        </w:numPr>
        <w:pStyle w:val="Compact"/>
      </w:pPr>
      <w:r>
        <w:t xml:space="preserve">Thompson, D’A. W. (1917/1942).</w:t>
      </w:r>
      <w:r>
        <w:t xml:space="preserve"> </w:t>
      </w:r>
      <w:r>
        <w:rPr>
          <w:iCs/>
          <w:i/>
        </w:rPr>
        <w:t xml:space="preserve">On Growth and Form</w:t>
      </w:r>
      <w:r>
        <w:t xml:space="preserve">. Cambridge University Press.</w:t>
      </w:r>
    </w:p>
    <w:p>
      <w:pPr>
        <w:numPr>
          <w:ilvl w:val="0"/>
          <w:numId w:val="1017"/>
        </w:numPr>
        <w:pStyle w:val="Compact"/>
      </w:pPr>
      <w:r>
        <w:t xml:space="preserve">Francé, R. (1920).</w:t>
      </w:r>
      <w:r>
        <w:t xml:space="preserve"> </w:t>
      </w:r>
      <w:r>
        <w:rPr>
          <w:iCs/>
          <w:i/>
        </w:rPr>
        <w:t xml:space="preserve">Die Pflanze als Erfinder</w:t>
      </w:r>
      <w:r>
        <w:t xml:space="preserve">. Kosmos.</w:t>
      </w:r>
    </w:p>
    <w:p>
      <w:pPr>
        <w:numPr>
          <w:ilvl w:val="0"/>
          <w:numId w:val="1017"/>
        </w:numPr>
        <w:pStyle w:val="Compact"/>
      </w:pPr>
      <w:r>
        <w:t xml:space="preserve">Lilienthal, O. (1889).</w:t>
      </w:r>
      <w:r>
        <w:t xml:space="preserve"> </w:t>
      </w:r>
      <w:r>
        <w:rPr>
          <w:iCs/>
          <w:i/>
        </w:rPr>
        <w:t xml:space="preserve">Der Vogelflug als Grundlage der Fliegekunst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Steele, J. E. (1960). Communications, symposium Bionics, Dayton.</w:t>
      </w:r>
    </w:p>
    <w:p>
      <w:pPr>
        <w:numPr>
          <w:ilvl w:val="0"/>
          <w:numId w:val="1017"/>
        </w:numPr>
        <w:pStyle w:val="Compact"/>
      </w:pPr>
      <w:r>
        <w:t xml:space="preserve">Schmitt, O. H. (1969). « Some interesting and useful biomimetic transforms »,</w:t>
      </w:r>
      <w:r>
        <w:t xml:space="preserve"> </w:t>
      </w:r>
      <w:r>
        <w:rPr>
          <w:iCs/>
          <w:i/>
        </w:rPr>
        <w:t xml:space="preserve">Third Int. Biophysics Congress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Benyus, J. (1997).</w:t>
      </w:r>
      <w:r>
        <w:t xml:space="preserve"> </w:t>
      </w:r>
      <w:r>
        <w:rPr>
          <w:iCs/>
          <w:i/>
        </w:rPr>
        <w:t xml:space="preserve">Biomimicry: Innovation Inspired by Nature</w:t>
      </w:r>
      <w:r>
        <w:t xml:space="preserve">. Morrow.</w:t>
      </w:r>
    </w:p>
    <w:p>
      <w:pPr>
        <w:numPr>
          <w:ilvl w:val="0"/>
          <w:numId w:val="1017"/>
        </w:numPr>
        <w:pStyle w:val="Compact"/>
      </w:pPr>
      <w:r>
        <w:t xml:space="preserve">Vogel, S. (1998).</w:t>
      </w:r>
      <w:r>
        <w:t xml:space="preserve"> </w:t>
      </w:r>
      <w:r>
        <w:rPr>
          <w:iCs/>
          <w:i/>
        </w:rPr>
        <w:t xml:space="preserve">Cats’ Paws and Catapults</w:t>
      </w:r>
      <w:r>
        <w:t xml:space="preserve">. Norton.</w:t>
      </w:r>
    </w:p>
    <w:p>
      <w:pPr>
        <w:numPr>
          <w:ilvl w:val="0"/>
          <w:numId w:val="1017"/>
        </w:numPr>
        <w:pStyle w:val="Compact"/>
      </w:pPr>
      <w:r>
        <w:t xml:space="preserve">Vogel, S. (1994).</w:t>
      </w:r>
      <w:r>
        <w:t xml:space="preserve"> </w:t>
      </w:r>
      <w:r>
        <w:rPr>
          <w:iCs/>
          <w:i/>
        </w:rPr>
        <w:t xml:space="preserve">Life in Moving Fluids</w:t>
      </w:r>
      <w:r>
        <w:t xml:space="preserve">. Princeton University Press.</w:t>
      </w:r>
    </w:p>
    <w:p>
      <w:pPr>
        <w:numPr>
          <w:ilvl w:val="0"/>
          <w:numId w:val="1017"/>
        </w:numPr>
        <w:pStyle w:val="Compact"/>
      </w:pPr>
      <w:r>
        <w:t xml:space="preserve">Nachtigall, W. (1998).</w:t>
      </w:r>
      <w:r>
        <w:t xml:space="preserve"> </w:t>
      </w:r>
      <w:r>
        <w:rPr>
          <w:iCs/>
          <w:i/>
        </w:rPr>
        <w:t xml:space="preserve">Bionik: Grundlagen und Beispiele für Ingenieure und Naturwissenschaftler</w:t>
      </w:r>
      <w:r>
        <w:t xml:space="preserve">. Springer.</w:t>
      </w:r>
    </w:p>
    <w:p>
      <w:pPr>
        <w:numPr>
          <w:ilvl w:val="0"/>
          <w:numId w:val="1017"/>
        </w:numPr>
        <w:pStyle w:val="Compact"/>
      </w:pPr>
      <w:r>
        <w:t xml:space="preserve">Vincent, J.F.V. (1982/2012).</w:t>
      </w:r>
      <w:r>
        <w:t xml:space="preserve"> </w:t>
      </w:r>
      <w:r>
        <w:rPr>
          <w:iCs/>
          <w:i/>
        </w:rPr>
        <w:t xml:space="preserve">Structural Biomaterials</w:t>
      </w:r>
      <w:r>
        <w:t xml:space="preserve">. Princeton University Press.</w:t>
      </w:r>
    </w:p>
    <w:bookmarkEnd w:id="56"/>
    <w:bookmarkStart w:id="57" w:name="méthodologie-et-théorie-du-transfert"/>
    <w:p>
      <w:pPr>
        <w:pStyle w:val="Heading3"/>
      </w:pPr>
      <w:r>
        <w:t xml:space="preserve">11.3 Méthodologie et théorie du transfert</w:t>
      </w:r>
    </w:p>
    <w:p>
      <w:pPr>
        <w:numPr>
          <w:ilvl w:val="0"/>
          <w:numId w:val="1018"/>
        </w:numPr>
        <w:pStyle w:val="Compact"/>
      </w:pPr>
      <w:r>
        <w:t xml:space="preserve">Vincent, J.F.V., Bogatyreva, O., Bogatyrev, N., Bowyer, A., Pahl, A.-K. (2006). « Biomimetics: its practice and theory ».</w:t>
      </w:r>
      <w:r>
        <w:t xml:space="preserve"> </w:t>
      </w:r>
      <w:r>
        <w:rPr>
          <w:iCs/>
          <w:i/>
        </w:rPr>
        <w:t xml:space="preserve">Journal of the Royal Society Interface</w:t>
      </w:r>
      <w:r>
        <w:t xml:space="preserve">, 3(9), 471-482.</w:t>
      </w:r>
    </w:p>
    <w:p>
      <w:pPr>
        <w:numPr>
          <w:ilvl w:val="0"/>
          <w:numId w:val="1018"/>
        </w:numPr>
        <w:pStyle w:val="Compact"/>
      </w:pPr>
      <w:r>
        <w:t xml:space="preserve">Helms, M., Vattam, S. S., Goel, A. K. (2009). « Biologically inspired design: process and products ».</w:t>
      </w:r>
      <w:r>
        <w:t xml:space="preserve"> </w:t>
      </w:r>
      <w:r>
        <w:rPr>
          <w:iCs/>
          <w:i/>
        </w:rPr>
        <w:t xml:space="preserve">Design Studies</w:t>
      </w:r>
      <w:r>
        <w:t xml:space="preserve">, 30(5), 606-622.</w:t>
      </w:r>
    </w:p>
    <w:p>
      <w:pPr>
        <w:numPr>
          <w:ilvl w:val="0"/>
          <w:numId w:val="1018"/>
        </w:numPr>
        <w:pStyle w:val="Compact"/>
      </w:pPr>
      <w:r>
        <w:t xml:space="preserve">Goel, A. K., McAdams, D. A., Stone, R. B. (dir.) (2014).</w:t>
      </w:r>
      <w:r>
        <w:t xml:space="preserve"> </w:t>
      </w:r>
      <w:r>
        <w:rPr>
          <w:iCs/>
          <w:i/>
        </w:rPr>
        <w:t xml:space="preserve">Biologically Inspired Design: Computational Methods and Tools</w:t>
      </w:r>
      <w:r>
        <w:t xml:space="preserve">. Springer.</w:t>
      </w:r>
    </w:p>
    <w:p>
      <w:pPr>
        <w:numPr>
          <w:ilvl w:val="0"/>
          <w:numId w:val="1018"/>
        </w:numPr>
        <w:pStyle w:val="Compact"/>
      </w:pPr>
      <w:r>
        <w:t xml:space="preserve">Fayemi, P.-E., Wanieck, K., Zollfrank, C., Maranzana, N., Aoussat, A. (2017). « Biomimetics: process, tools and practice ».</w:t>
      </w:r>
      <w:r>
        <w:t xml:space="preserve"> </w:t>
      </w:r>
      <w:r>
        <w:rPr>
          <w:iCs/>
          <w:i/>
        </w:rPr>
        <w:t xml:space="preserve">Bioinspiration &amp; Biomimetics</w:t>
      </w:r>
      <w:r>
        <w:t xml:space="preserve">, 12(1), 011002.</w:t>
      </w:r>
    </w:p>
    <w:p>
      <w:pPr>
        <w:numPr>
          <w:ilvl w:val="0"/>
          <w:numId w:val="1018"/>
        </w:numPr>
        <w:pStyle w:val="Compact"/>
      </w:pPr>
      <w:r>
        <w:t xml:space="preserve">Wanieck, K., Fayemi, P.-E., Maranzana, N., Zollfrank, C., Jacobs, S. (2017). « Biomimetics and its tools ».</w:t>
      </w:r>
      <w:r>
        <w:t xml:space="preserve"> </w:t>
      </w:r>
      <w:r>
        <w:rPr>
          <w:iCs/>
          <w:i/>
        </w:rPr>
        <w:t xml:space="preserve">Bioinspired, Biomimetic and Nanobiomaterials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Chakrabarti, A. et al. (2005). « A functional representation for aiding biomimetic and artificial inspiration of new ideas ».</w:t>
      </w:r>
      <w:r>
        <w:t xml:space="preserve"> </w:t>
      </w:r>
      <w:r>
        <w:rPr>
          <w:iCs/>
          <w:i/>
        </w:rPr>
        <w:t xml:space="preserve">AI EDAM</w:t>
      </w:r>
      <w:r>
        <w:t xml:space="preserve">, 19(2).</w:t>
      </w:r>
    </w:p>
    <w:p>
      <w:pPr>
        <w:numPr>
          <w:ilvl w:val="0"/>
          <w:numId w:val="1018"/>
        </w:numPr>
        <w:pStyle w:val="Compact"/>
      </w:pPr>
      <w:r>
        <w:t xml:space="preserve">Baumeister, D. et al. (2014).</w:t>
      </w:r>
      <w:r>
        <w:t xml:space="preserve"> </w:t>
      </w:r>
      <w:r>
        <w:rPr>
          <w:iCs/>
          <w:i/>
        </w:rPr>
        <w:t xml:space="preserve">Biomimicry Resource Handbook</w:t>
      </w:r>
      <w:r>
        <w:t xml:space="preserve">. Biomimicry 3.8.</w:t>
      </w:r>
    </w:p>
    <w:p>
      <w:pPr>
        <w:numPr>
          <w:ilvl w:val="0"/>
          <w:numId w:val="1018"/>
        </w:numPr>
        <w:pStyle w:val="Compact"/>
      </w:pPr>
      <w:r>
        <w:t xml:space="preserve">Mattheck, C. (1998).</w:t>
      </w:r>
      <w:r>
        <w:t xml:space="preserve"> </w:t>
      </w:r>
      <w:r>
        <w:rPr>
          <w:iCs/>
          <w:i/>
        </w:rPr>
        <w:t xml:space="preserve">Design in Nature: Learning from Trees</w:t>
      </w:r>
      <w:r>
        <w:t xml:space="preserve">. Springer.</w:t>
      </w:r>
    </w:p>
    <w:p>
      <w:pPr>
        <w:numPr>
          <w:ilvl w:val="0"/>
          <w:numId w:val="1018"/>
        </w:numPr>
        <w:pStyle w:val="Compact"/>
      </w:pPr>
      <w:r>
        <w:t xml:space="preserve">Pedersen Zari, M. (2007). « Biomimetic approaches to architectural design for increased sustainability ».</w:t>
      </w:r>
      <w:r>
        <w:t xml:space="preserve"> </w:t>
      </w:r>
      <w:r>
        <w:rPr>
          <w:iCs/>
          <w:i/>
        </w:rPr>
        <w:t xml:space="preserve">SB07 NZ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Pedersen Zari, M. (2018).</w:t>
      </w:r>
      <w:r>
        <w:t xml:space="preserve"> </w:t>
      </w:r>
      <w:r>
        <w:rPr>
          <w:iCs/>
          <w:i/>
        </w:rPr>
        <w:t xml:space="preserve">Regenerative Urban Design and Ecosystem Biomimicry</w:t>
      </w:r>
      <w:r>
        <w:t xml:space="preserve">. Routledge.</w:t>
      </w:r>
    </w:p>
    <w:p>
      <w:pPr>
        <w:numPr>
          <w:ilvl w:val="0"/>
          <w:numId w:val="1018"/>
        </w:numPr>
        <w:pStyle w:val="Compact"/>
      </w:pPr>
      <w:r>
        <w:t xml:space="preserve">Marques de Sá, A. A., Viana, D. M. (2023). « Design and Biomimicry: A Review of Interconnections and Creative Potentials ».</w:t>
      </w:r>
      <w:r>
        <w:t xml:space="preserve"> </w:t>
      </w:r>
      <w:r>
        <w:rPr>
          <w:iCs/>
          <w:i/>
        </w:rPr>
        <w:t xml:space="preserve">Biomimetics</w:t>
      </w:r>
      <w:r>
        <w:t xml:space="preserve">, 8(1), 61. DOI 10.3390/biomimetics8010061.</w:t>
      </w:r>
    </w:p>
    <w:bookmarkEnd w:id="57"/>
    <w:bookmarkStart w:id="58" w:name="architecture-et-construction"/>
    <w:p>
      <w:pPr>
        <w:pStyle w:val="Heading3"/>
      </w:pPr>
      <w:r>
        <w:t xml:space="preserve">11.4 Architecture et construction</w:t>
      </w:r>
    </w:p>
    <w:p>
      <w:pPr>
        <w:numPr>
          <w:ilvl w:val="0"/>
          <w:numId w:val="1019"/>
        </w:numPr>
        <w:pStyle w:val="Compact"/>
      </w:pPr>
      <w:r>
        <w:t xml:space="preserve">Pawlyn, M. (2011/2016).</w:t>
      </w:r>
      <w:r>
        <w:t xml:space="preserve"> </w:t>
      </w:r>
      <w:r>
        <w:rPr>
          <w:iCs/>
          <w:i/>
        </w:rPr>
        <w:t xml:space="preserve">Biomimicry in Architecture</w:t>
      </w:r>
      <w:r>
        <w:t xml:space="preserve">. RIBA Publishing.</w:t>
      </w:r>
    </w:p>
    <w:p>
      <w:pPr>
        <w:numPr>
          <w:ilvl w:val="0"/>
          <w:numId w:val="1019"/>
        </w:numPr>
        <w:pStyle w:val="Compact"/>
      </w:pPr>
      <w:r>
        <w:t xml:space="preserve">Knippers, J., Speck, T., Nickel, K. (dir.) (2016).</w:t>
      </w:r>
      <w:r>
        <w:t xml:space="preserve"> </w:t>
      </w:r>
      <w:r>
        <w:rPr>
          <w:iCs/>
          <w:i/>
        </w:rPr>
        <w:t xml:space="preserve">Biomimetic Research for Architecture and Building Construction</w:t>
      </w:r>
      <w:r>
        <w:t xml:space="preserve">. Springer.</w:t>
      </w:r>
    </w:p>
    <w:p>
      <w:pPr>
        <w:numPr>
          <w:ilvl w:val="0"/>
          <w:numId w:val="1019"/>
        </w:numPr>
        <w:pStyle w:val="Compact"/>
      </w:pPr>
      <w:r>
        <w:t xml:space="preserve">Speck, T., Speck, O., Knippers, J. (2019).</w:t>
      </w:r>
      <w:r>
        <w:t xml:space="preserve"> </w:t>
      </w:r>
      <w:r>
        <w:rPr>
          <w:iCs/>
          <w:i/>
        </w:rPr>
        <w:t xml:space="preserve">Biomimetics for Architecture: Learning from Nature</w:t>
      </w:r>
      <w:r>
        <w:t xml:space="preserve">. Birkhäuser.</w:t>
      </w:r>
    </w:p>
    <w:p>
      <w:pPr>
        <w:numPr>
          <w:ilvl w:val="0"/>
          <w:numId w:val="1019"/>
        </w:numPr>
        <w:pStyle w:val="Compact"/>
      </w:pPr>
      <w:r>
        <w:t xml:space="preserve">Aboulnaga, M., Helmy, S. E. (2022). « Biomimicry in Criticism: Argument, Defense, and the Direction Toward Sustainability ». In</w:t>
      </w:r>
      <w:r>
        <w:t xml:space="preserve"> </w:t>
      </w:r>
      <w:r>
        <w:rPr>
          <w:iCs/>
          <w:i/>
        </w:rPr>
        <w:t xml:space="preserve">Biomimetic Architecture and Its Role in Developing Sustainable, Regenerative, and Livable Cities</w:t>
      </w:r>
      <w:r>
        <w:t xml:space="preserve">. Springer. DOI 10.1007/978-3-031-08292-4_6.</w:t>
      </w:r>
    </w:p>
    <w:p>
      <w:pPr>
        <w:numPr>
          <w:ilvl w:val="0"/>
          <w:numId w:val="1019"/>
        </w:numPr>
        <w:pStyle w:val="Compact"/>
      </w:pPr>
      <w:r>
        <w:t xml:space="preserve">Verbrugghe, N., Rubinacci, E., Khan, A. Z. (2023). « Biomimicry in Architecture: A Review of Definitions, Case Studies, and Design Methods ».</w:t>
      </w:r>
      <w:r>
        <w:t xml:space="preserve"> </w:t>
      </w:r>
      <w:r>
        <w:rPr>
          <w:iCs/>
          <w:i/>
        </w:rPr>
        <w:t xml:space="preserve">Biomimetics</w:t>
      </w:r>
      <w:r>
        <w:t xml:space="preserve">, 8(1).</w:t>
      </w:r>
    </w:p>
    <w:p>
      <w:pPr>
        <w:numPr>
          <w:ilvl w:val="0"/>
          <w:numId w:val="1019"/>
        </w:numPr>
        <w:pStyle w:val="Compact"/>
      </w:pPr>
      <w:r>
        <w:t xml:space="preserve">Uchiyama, Y., Blanco, E., Kohsaka, R. (2020). « Application of Biomimetics to Architectural and Urban Design: A Review across Scales ».</w:t>
      </w:r>
      <w:r>
        <w:t xml:space="preserve"> </w:t>
      </w:r>
      <w:r>
        <w:rPr>
          <w:iCs/>
          <w:i/>
        </w:rPr>
        <w:t xml:space="preserve">Sustainability</w:t>
      </w:r>
      <w:r>
        <w:t xml:space="preserve">, 12(23).</w:t>
      </w:r>
    </w:p>
    <w:p>
      <w:pPr>
        <w:numPr>
          <w:ilvl w:val="0"/>
          <w:numId w:val="1019"/>
        </w:numPr>
        <w:pStyle w:val="Compact"/>
      </w:pPr>
      <w:r>
        <w:t xml:space="preserve">« Applications of Biomimicry in Architecture, Construction and Civil Engineering » (2023).</w:t>
      </w:r>
      <w:r>
        <w:t xml:space="preserve"> </w:t>
      </w:r>
      <w:r>
        <w:rPr>
          <w:iCs/>
          <w:i/>
        </w:rPr>
        <w:t xml:space="preserve">Biomimetics</w:t>
      </w:r>
      <w:r>
        <w:t xml:space="preserve">, PMC10204470. Revue systématique 2000-2022.</w:t>
      </w:r>
    </w:p>
    <w:p>
      <w:pPr>
        <w:numPr>
          <w:ilvl w:val="0"/>
          <w:numId w:val="1019"/>
        </w:numPr>
        <w:pStyle w:val="Compact"/>
      </w:pPr>
      <w:r>
        <w:t xml:space="preserve">Rahubadda, R.V.A.D., Kulatunga, U. (2025). « Development of a new definition for biomimicry in the field of net-zero construction ».</w:t>
      </w:r>
      <w:r>
        <w:t xml:space="preserve"> </w:t>
      </w:r>
      <w:r>
        <w:rPr>
          <w:iCs/>
          <w:i/>
        </w:rPr>
        <w:t xml:space="preserve">Construction Innovation</w:t>
      </w:r>
      <w:r>
        <w:t xml:space="preserve">. DOI 10.1108/CI-07-2025-0332.</w:t>
      </w:r>
    </w:p>
    <w:p>
      <w:pPr>
        <w:numPr>
          <w:ilvl w:val="0"/>
          <w:numId w:val="1019"/>
        </w:numPr>
        <w:pStyle w:val="Compact"/>
      </w:pPr>
      <w:r>
        <w:t xml:space="preserve">Turner, J. S., Soar, R. C. (2008). « Beyond biomimicry: What termites can tell us about realizing the living building ».</w:t>
      </w:r>
      <w:r>
        <w:t xml:space="preserve"> </w:t>
      </w:r>
      <w:r>
        <w:rPr>
          <w:iCs/>
          <w:i/>
        </w:rPr>
        <w:t xml:space="preserve">First Int. Conf. on Industrialized, Intelligent Construction</w:t>
      </w:r>
      <w:r>
        <w:t xml:space="preserve">.</w:t>
      </w:r>
    </w:p>
    <w:bookmarkEnd w:id="58"/>
    <w:bookmarkStart w:id="59" w:name="matériaux-et-surfaces"/>
    <w:p>
      <w:pPr>
        <w:pStyle w:val="Heading3"/>
      </w:pPr>
      <w:r>
        <w:t xml:space="preserve">11.5 Matériaux et surfaces</w:t>
      </w:r>
    </w:p>
    <w:p>
      <w:pPr>
        <w:numPr>
          <w:ilvl w:val="0"/>
          <w:numId w:val="1020"/>
        </w:numPr>
        <w:pStyle w:val="Compact"/>
      </w:pPr>
      <w:r>
        <w:t xml:space="preserve">Barthlott, W., Neinhuis, C. (1997). « Purity of the sacred lotus, or escape from contamination in biological surfaces ».</w:t>
      </w:r>
      <w:r>
        <w:t xml:space="preserve"> </w:t>
      </w:r>
      <w:r>
        <w:rPr>
          <w:iCs/>
          <w:i/>
        </w:rPr>
        <w:t xml:space="preserve">Planta</w:t>
      </w:r>
      <w:r>
        <w:t xml:space="preserve">, 202, 1-8.</w:t>
      </w:r>
    </w:p>
    <w:p>
      <w:pPr>
        <w:numPr>
          <w:ilvl w:val="0"/>
          <w:numId w:val="1020"/>
        </w:numPr>
        <w:pStyle w:val="Compact"/>
      </w:pPr>
      <w:r>
        <w:t xml:space="preserve">Autumn, K. et al. (2000). « Adhesive force of a single gecko foot-hair ».</w:t>
      </w:r>
      <w:r>
        <w:t xml:space="preserve"> </w:t>
      </w:r>
      <w:r>
        <w:rPr>
          <w:iCs/>
          <w:i/>
        </w:rPr>
        <w:t xml:space="preserve">Nature</w:t>
      </w:r>
      <w:r>
        <w:t xml:space="preserve">, 405, 681-685.</w:t>
      </w:r>
    </w:p>
    <w:p>
      <w:pPr>
        <w:numPr>
          <w:ilvl w:val="0"/>
          <w:numId w:val="1020"/>
        </w:numPr>
        <w:pStyle w:val="Compact"/>
      </w:pPr>
      <w:r>
        <w:t xml:space="preserve">Autumn, K. et al. (2002). « Evidence for van der Waals adhesion in gecko setae ».</w:t>
      </w:r>
      <w:r>
        <w:t xml:space="preserve"> </w:t>
      </w:r>
      <w:r>
        <w:rPr>
          <w:iCs/>
          <w:i/>
        </w:rPr>
        <w:t xml:space="preserve">PNAS</w:t>
      </w:r>
      <w:r>
        <w:t xml:space="preserve">, 99(19).</w:t>
      </w:r>
    </w:p>
    <w:p>
      <w:pPr>
        <w:numPr>
          <w:ilvl w:val="0"/>
          <w:numId w:val="1020"/>
        </w:numPr>
        <w:pStyle w:val="Compact"/>
      </w:pPr>
      <w:r>
        <w:t xml:space="preserve">Bechert, D. W. et al. (1997). « Experiments on drag-reducing surfaces and their optimization with an adjustable geometry ».</w:t>
      </w:r>
      <w:r>
        <w:t xml:space="preserve"> </w:t>
      </w:r>
      <w:r>
        <w:rPr>
          <w:iCs/>
          <w:i/>
        </w:rPr>
        <w:t xml:space="preserve">Journal of Fluid Mechanics</w:t>
      </w:r>
      <w:r>
        <w:t xml:space="preserve">, 338.</w:t>
      </w:r>
    </w:p>
    <w:p>
      <w:pPr>
        <w:numPr>
          <w:ilvl w:val="0"/>
          <w:numId w:val="1020"/>
        </w:numPr>
        <w:pStyle w:val="Compact"/>
      </w:pPr>
      <w:r>
        <w:t xml:space="preserve">Meyers, M. A. et al. (2008). « Biological materials: Structure and mechanical properties ».</w:t>
      </w:r>
      <w:r>
        <w:t xml:space="preserve"> </w:t>
      </w:r>
      <w:r>
        <w:rPr>
          <w:iCs/>
          <w:i/>
        </w:rPr>
        <w:t xml:space="preserve">Progress in Materials Science</w:t>
      </w:r>
      <w:r>
        <w:t xml:space="preserve">, 53(1).</w:t>
      </w:r>
    </w:p>
    <w:p>
      <w:pPr>
        <w:numPr>
          <w:ilvl w:val="0"/>
          <w:numId w:val="1020"/>
        </w:numPr>
        <w:pStyle w:val="Compact"/>
      </w:pPr>
      <w:r>
        <w:t xml:space="preserve">Ritchie, R. O. (2011). « The conflicts between strength and toughness ».</w:t>
      </w:r>
      <w:r>
        <w:t xml:space="preserve"> </w:t>
      </w:r>
      <w:r>
        <w:rPr>
          <w:iCs/>
          <w:i/>
        </w:rPr>
        <w:t xml:space="preserve">Nature Materials</w:t>
      </w:r>
      <w:r>
        <w:t xml:space="preserve">, 10.</w:t>
      </w:r>
    </w:p>
    <w:p>
      <w:pPr>
        <w:numPr>
          <w:ilvl w:val="0"/>
          <w:numId w:val="1020"/>
        </w:numPr>
        <w:pStyle w:val="Compact"/>
      </w:pPr>
      <w:r>
        <w:t xml:space="preserve">Barthelat, F. (2015). « Architectured materials in engineering and biology ».</w:t>
      </w:r>
      <w:r>
        <w:t xml:space="preserve"> </w:t>
      </w:r>
      <w:r>
        <w:rPr>
          <w:iCs/>
          <w:i/>
        </w:rPr>
        <w:t xml:space="preserve">International Materials Reviews</w:t>
      </w:r>
      <w:r>
        <w:t xml:space="preserve">, 60(8).</w:t>
      </w:r>
    </w:p>
    <w:p>
      <w:pPr>
        <w:numPr>
          <w:ilvl w:val="0"/>
          <w:numId w:val="1020"/>
        </w:numPr>
        <w:pStyle w:val="Compact"/>
      </w:pPr>
      <w:r>
        <w:t xml:space="preserve">Berthier, S. (2000).</w:t>
      </w:r>
      <w:r>
        <w:t xml:space="preserve"> </w:t>
      </w:r>
      <w:r>
        <w:rPr>
          <w:iCs/>
          <w:i/>
        </w:rPr>
        <w:t xml:space="preserve">Iridescences, les couleurs physiques des insectes</w:t>
      </w:r>
      <w:r>
        <w:t xml:space="preserve">. Springer.</w:t>
      </w:r>
    </w:p>
    <w:p>
      <w:pPr>
        <w:numPr>
          <w:ilvl w:val="0"/>
          <w:numId w:val="1020"/>
        </w:numPr>
        <w:pStyle w:val="Compact"/>
      </w:pPr>
      <w:r>
        <w:t xml:space="preserve">Aizenberg, J. et al. (2005). « Skeleton of Euplectella sp.: structural hierarchy from the nanoscale to the macroscale ».</w:t>
      </w:r>
      <w:r>
        <w:t xml:space="preserve"> </w:t>
      </w:r>
      <w:r>
        <w:rPr>
          <w:iCs/>
          <w:i/>
        </w:rPr>
        <w:t xml:space="preserve">Science</w:t>
      </w:r>
      <w:r>
        <w:t xml:space="preserve">, 309.</w:t>
      </w:r>
    </w:p>
    <w:p>
      <w:pPr>
        <w:numPr>
          <w:ilvl w:val="0"/>
          <w:numId w:val="1020"/>
        </w:numPr>
        <w:pStyle w:val="Compact"/>
      </w:pPr>
      <w:r>
        <w:t xml:space="preserve">« Biomimicry at the nanoscale — a review of nanomaterials inspired by nature » (2025).</w:t>
      </w:r>
      <w:r>
        <w:t xml:space="preserve"> </w:t>
      </w:r>
      <w:r>
        <w:rPr>
          <w:iCs/>
          <w:i/>
        </w:rPr>
        <w:t xml:space="preserve">Nano Trends</w:t>
      </w:r>
      <w:r>
        <w:t xml:space="preserve">. DOI 10.1016/j.nwnano.2025.100119. Open access.</w:t>
      </w:r>
    </w:p>
    <w:p>
      <w:pPr>
        <w:numPr>
          <w:ilvl w:val="0"/>
          <w:numId w:val="1020"/>
        </w:numPr>
        <w:pStyle w:val="Compact"/>
      </w:pPr>
      <w:r>
        <w:t xml:space="preserve">Luu, R. K., Buehler, M. J. (2023-2024). « BioinspiredLLM: Conversational Large Language Model for the Mechanics of Biological and Bio-inspired Materials ».</w:t>
      </w:r>
      <w:r>
        <w:t xml:space="preserve"> </w:t>
      </w:r>
      <w:r>
        <w:rPr>
          <w:iCs/>
          <w:i/>
        </w:rPr>
        <w:t xml:space="preserve">Advanced Science</w:t>
      </w:r>
      <w:r>
        <w:t xml:space="preserve">.</w:t>
      </w:r>
    </w:p>
    <w:bookmarkEnd w:id="59"/>
    <w:bookmarkStart w:id="60" w:name="robotique-et-algorithmes"/>
    <w:p>
      <w:pPr>
        <w:pStyle w:val="Heading3"/>
      </w:pPr>
      <w:r>
        <w:t xml:space="preserve">11.6 Robotique et algorithmes</w:t>
      </w:r>
    </w:p>
    <w:p>
      <w:pPr>
        <w:numPr>
          <w:ilvl w:val="0"/>
          <w:numId w:val="1021"/>
        </w:numPr>
        <w:pStyle w:val="Compact"/>
      </w:pPr>
      <w:r>
        <w:t xml:space="preserve">Pfeifer, R., Lungarella, M., Iida, F. (2007). « Self-organization, embodiment, and biologically inspired robotics ».</w:t>
      </w:r>
      <w:r>
        <w:t xml:space="preserve"> </w:t>
      </w:r>
      <w:r>
        <w:rPr>
          <w:iCs/>
          <w:i/>
        </w:rPr>
        <w:t xml:space="preserve">Science</w:t>
      </w:r>
      <w:r>
        <w:t xml:space="preserve">, 318.</w:t>
      </w:r>
    </w:p>
    <w:p>
      <w:pPr>
        <w:numPr>
          <w:ilvl w:val="0"/>
          <w:numId w:val="1021"/>
        </w:numPr>
        <w:pStyle w:val="Compact"/>
      </w:pPr>
      <w:r>
        <w:t xml:space="preserve">Laschi, C., Mazzolai, B., Cianchetti, M. (2016). « Soft robotics: Technologies and systems pushing the boundaries of robot abilities ».</w:t>
      </w:r>
      <w:r>
        <w:t xml:space="preserve"> </w:t>
      </w:r>
      <w:r>
        <w:rPr>
          <w:iCs/>
          <w:i/>
        </w:rPr>
        <w:t xml:space="preserve">Science Robotics</w:t>
      </w:r>
      <w:r>
        <w:t xml:space="preserve">, 1(1).</w:t>
      </w:r>
    </w:p>
    <w:p>
      <w:pPr>
        <w:numPr>
          <w:ilvl w:val="0"/>
          <w:numId w:val="1021"/>
        </w:numPr>
        <w:pStyle w:val="Compact"/>
      </w:pPr>
      <w:r>
        <w:t xml:space="preserve">Kim, S., Laschi, C., Trimmer, B. (2013). « Soft robotics: a bioinspired evolution in robotics ».</w:t>
      </w:r>
      <w:r>
        <w:t xml:space="preserve"> </w:t>
      </w:r>
      <w:r>
        <w:rPr>
          <w:iCs/>
          <w:i/>
        </w:rPr>
        <w:t xml:space="preserve">Trends in Biotechnology</w:t>
      </w:r>
      <w:r>
        <w:t xml:space="preserve">, 31(5).</w:t>
      </w:r>
    </w:p>
    <w:p>
      <w:pPr>
        <w:numPr>
          <w:ilvl w:val="0"/>
          <w:numId w:val="1021"/>
        </w:numPr>
        <w:pStyle w:val="Compact"/>
      </w:pPr>
      <w:r>
        <w:t xml:space="preserve">Holland, J. H. (1975).</w:t>
      </w:r>
      <w:r>
        <w:t xml:space="preserve"> </w:t>
      </w:r>
      <w:r>
        <w:rPr>
          <w:iCs/>
          <w:i/>
        </w:rPr>
        <w:t xml:space="preserve">Adaptation in Natural and Artificial Systems</w:t>
      </w:r>
      <w:r>
        <w:t xml:space="preserve">. University of Michigan Press.</w:t>
      </w:r>
    </w:p>
    <w:p>
      <w:pPr>
        <w:numPr>
          <w:ilvl w:val="0"/>
          <w:numId w:val="1021"/>
        </w:numPr>
        <w:pStyle w:val="Compact"/>
      </w:pPr>
      <w:r>
        <w:t xml:space="preserve">Dorigo, M., Maniezzo, V., Colorni, A. (1996). « Ant system: optimization by a colony of cooperating agents ».</w:t>
      </w:r>
      <w:r>
        <w:t xml:space="preserve"> </w:t>
      </w:r>
      <w:r>
        <w:rPr>
          <w:iCs/>
          <w:i/>
        </w:rPr>
        <w:t xml:space="preserve">IEEE Trans. SMC-B</w:t>
      </w:r>
      <w:r>
        <w:t xml:space="preserve">, 26(1).</w:t>
      </w:r>
    </w:p>
    <w:p>
      <w:pPr>
        <w:numPr>
          <w:ilvl w:val="0"/>
          <w:numId w:val="1021"/>
        </w:numPr>
        <w:pStyle w:val="Compact"/>
      </w:pPr>
      <w:r>
        <w:t xml:space="preserve">Kennedy, J., Eberhart, R. (1995). « Particle swarm optimization ».</w:t>
      </w:r>
      <w:r>
        <w:t xml:space="preserve"> </w:t>
      </w:r>
      <w:r>
        <w:rPr>
          <w:iCs/>
          <w:i/>
        </w:rPr>
        <w:t xml:space="preserve">Proc. ICNN’95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Turing, A. M. (1952). « The chemical basis of morphogenesis ».</w:t>
      </w:r>
      <w:r>
        <w:t xml:space="preserve"> </w:t>
      </w:r>
      <w:r>
        <w:rPr>
          <w:iCs/>
          <w:i/>
        </w:rPr>
        <w:t xml:space="preserve">Phil. Trans. R. Soc. B</w:t>
      </w:r>
      <w:r>
        <w:t xml:space="preserve">, 237.</w:t>
      </w:r>
    </w:p>
    <w:p>
      <w:pPr>
        <w:numPr>
          <w:ilvl w:val="0"/>
          <w:numId w:val="1021"/>
        </w:numPr>
        <w:pStyle w:val="Compact"/>
      </w:pPr>
      <w:r>
        <w:t xml:space="preserve">Maass, W. (1997). « Networks of spiking neurons: the third generation of neural network models ».</w:t>
      </w:r>
      <w:r>
        <w:t xml:space="preserve"> </w:t>
      </w:r>
      <w:r>
        <w:rPr>
          <w:iCs/>
          <w:i/>
        </w:rPr>
        <w:t xml:space="preserve">Neural Networks</w:t>
      </w:r>
      <w:r>
        <w:t xml:space="preserve">, 10(9).</w:t>
      </w:r>
    </w:p>
    <w:p>
      <w:pPr>
        <w:numPr>
          <w:ilvl w:val="0"/>
          <w:numId w:val="1021"/>
        </w:numPr>
        <w:pStyle w:val="Compact"/>
      </w:pPr>
      <w:r>
        <w:t xml:space="preserve">Sörensen, K. (2015). « Metaheuristics — the metaphor exposed ».</w:t>
      </w:r>
      <w:r>
        <w:t xml:space="preserve"> </w:t>
      </w:r>
      <w:r>
        <w:rPr>
          <w:iCs/>
          <w:i/>
        </w:rPr>
        <w:t xml:space="preserve">International Transactions in Operational Research</w:t>
      </w:r>
      <w:r>
        <w:t xml:space="preserve">, 22(1).</w:t>
      </w:r>
      <w:r>
        <w:t xml:space="preserve"> </w:t>
      </w:r>
      <w:r>
        <w:rPr>
          <w:bCs/>
          <w:b/>
        </w:rPr>
        <w:t xml:space="preserve">Critique de référence</w:t>
      </w:r>
    </w:p>
    <w:p>
      <w:pPr>
        <w:numPr>
          <w:ilvl w:val="0"/>
          <w:numId w:val="1021"/>
        </w:numPr>
        <w:pStyle w:val="Compact"/>
      </w:pPr>
      <w:r>
        <w:t xml:space="preserve">Revues 2025,</w:t>
      </w:r>
      <w:r>
        <w:t xml:space="preserve"> </w:t>
      </w:r>
      <w:r>
        <w:rPr>
          <w:iCs/>
          <w:i/>
        </w:rPr>
        <w:t xml:space="preserve">Biomimetic Intelligence and Robotics</w:t>
      </w:r>
      <w:r>
        <w:t xml:space="preserve"> </w:t>
      </w:r>
      <w:r>
        <w:t xml:space="preserve">(Elsevier), vol. 5 : robots aquatiques sauteurs, mains dextres humanoïdes, perception visuelle humanoïde, planificateurs par échantillonnage.</w:t>
      </w:r>
    </w:p>
    <w:p>
      <w:pPr>
        <w:numPr>
          <w:ilvl w:val="0"/>
          <w:numId w:val="1021"/>
        </w:numPr>
        <w:pStyle w:val="Compact"/>
      </w:pPr>
      <w:r>
        <w:t xml:space="preserve">arXiv:2503.09838 (2025).</w:t>
      </w:r>
      <w:r>
        <w:t xml:space="preserve"> </w:t>
      </w:r>
      <w:r>
        <w:rPr>
          <w:iCs/>
          <w:i/>
        </w:rPr>
        <w:t xml:space="preserve">BioSpark: Beyond Analogical Inspiration to LLM-augmented Transfer</w:t>
      </w:r>
      <w:r>
        <w:t xml:space="preserve">.</w:t>
      </w:r>
    </w:p>
    <w:bookmarkEnd w:id="60"/>
    <w:bookmarkStart w:id="61" w:name="énergie-et-fluides"/>
    <w:p>
      <w:pPr>
        <w:pStyle w:val="Heading3"/>
      </w:pPr>
      <w:r>
        <w:t xml:space="preserve">11.7 Énergie et fluides</w:t>
      </w:r>
    </w:p>
    <w:p>
      <w:pPr>
        <w:numPr>
          <w:ilvl w:val="0"/>
          <w:numId w:val="1022"/>
        </w:numPr>
        <w:pStyle w:val="Compact"/>
      </w:pPr>
      <w:r>
        <w:t xml:space="preserve">Fish, F. E., Battle, J. M. (1995). « Hydrodynamic design of the humpback whale flipper ».</w:t>
      </w:r>
      <w:r>
        <w:t xml:space="preserve"> </w:t>
      </w:r>
      <w:r>
        <w:rPr>
          <w:iCs/>
          <w:i/>
        </w:rPr>
        <w:t xml:space="preserve">Journal of Morphology</w:t>
      </w:r>
      <w:r>
        <w:t xml:space="preserve">, 225(1).</w:t>
      </w:r>
    </w:p>
    <w:p>
      <w:pPr>
        <w:numPr>
          <w:ilvl w:val="0"/>
          <w:numId w:val="1022"/>
        </w:numPr>
        <w:pStyle w:val="Compact"/>
      </w:pPr>
      <w:r>
        <w:t xml:space="preserve">Dabiri, J. O. (2011). « Potential order-of-magnitude enhancement of wind farm power density via counter-rotating vertical-axis wind turbine arrays ».</w:t>
      </w:r>
      <w:r>
        <w:t xml:space="preserve"> </w:t>
      </w:r>
      <w:r>
        <w:rPr>
          <w:iCs/>
          <w:i/>
        </w:rPr>
        <w:t xml:space="preserve">J. Renewable and Sustainable Energy</w:t>
      </w:r>
      <w:r>
        <w:t xml:space="preserve">, 3.</w:t>
      </w:r>
    </w:p>
    <w:p>
      <w:pPr>
        <w:numPr>
          <w:ilvl w:val="0"/>
          <w:numId w:val="1022"/>
        </w:numPr>
        <w:pStyle w:val="Compact"/>
      </w:pPr>
      <w:r>
        <w:t xml:space="preserve">O’Regan, B., Grätzel, M. (1991). « A low-cost, high-efficiency solar cell based on dye-sensitized colloidal TiO2 films ».</w:t>
      </w:r>
      <w:r>
        <w:t xml:space="preserve"> </w:t>
      </w:r>
      <w:r>
        <w:rPr>
          <w:iCs/>
          <w:i/>
        </w:rPr>
        <w:t xml:space="preserve">Nature</w:t>
      </w:r>
      <w:r>
        <w:t xml:space="preserve">, 353.</w:t>
      </w:r>
    </w:p>
    <w:p>
      <w:pPr>
        <w:numPr>
          <w:ilvl w:val="0"/>
          <w:numId w:val="1022"/>
        </w:numPr>
        <w:pStyle w:val="Compact"/>
      </w:pPr>
      <w:r>
        <w:t xml:space="preserve">Nocera, D. G. (2012). « The artificial leaf ».</w:t>
      </w:r>
      <w:r>
        <w:t xml:space="preserve"> </w:t>
      </w:r>
      <w:r>
        <w:rPr>
          <w:iCs/>
          <w:i/>
        </w:rPr>
        <w:t xml:space="preserve">Accounts of Chemical Research</w:t>
      </w:r>
      <w:r>
        <w:t xml:space="preserve">, 45(5).</w:t>
      </w:r>
    </w:p>
    <w:bookmarkEnd w:id="61"/>
    <w:bookmarkStart w:id="62" w:name="francophone"/>
    <w:p>
      <w:pPr>
        <w:pStyle w:val="Heading3"/>
      </w:pPr>
      <w:r>
        <w:t xml:space="preserve">11.8 Francophone</w:t>
      </w:r>
    </w:p>
    <w:p>
      <w:pPr>
        <w:numPr>
          <w:ilvl w:val="0"/>
          <w:numId w:val="1023"/>
        </w:numPr>
        <w:pStyle w:val="Compact"/>
      </w:pPr>
      <w:r>
        <w:t xml:space="preserve">Chapelle, G., Raskin, K. (dir.) (2020).</w:t>
      </w:r>
      <w:r>
        <w:t xml:space="preserve"> </w:t>
      </w:r>
      <w:r>
        <w:rPr>
          <w:iCs/>
          <w:i/>
        </w:rPr>
        <w:t xml:space="preserve">Humanité bio-inspirée : une autre approche</w:t>
      </w:r>
      <w:r>
        <w:t xml:space="preserve">. Cherche Midi. (Publié à l’occasion de l’exposition permanente</w:t>
      </w:r>
      <w:r>
        <w:t xml:space="preserve"> </w:t>
      </w:r>
      <w:r>
        <w:rPr>
          <w:iCs/>
          <w:i/>
        </w:rPr>
        <w:t xml:space="preserve">Bio-inspirée</w:t>
      </w:r>
      <w:r>
        <w:t xml:space="preserve"> </w:t>
      </w:r>
      <w:r>
        <w:t xml:space="preserve">à la Cité des sciences et de l’industrie, Paris, à partir du 28 avril 2020.)</w:t>
      </w:r>
    </w:p>
    <w:p>
      <w:pPr>
        <w:numPr>
          <w:ilvl w:val="0"/>
          <w:numId w:val="1023"/>
        </w:numPr>
        <w:pStyle w:val="Compact"/>
      </w:pPr>
      <w:r>
        <w:t xml:space="preserve">Chapelle, G., Decoust, M. (2015).</w:t>
      </w:r>
      <w:r>
        <w:t xml:space="preserve"> </w:t>
      </w:r>
      <w:r>
        <w:rPr>
          <w:iCs/>
          <w:i/>
        </w:rPr>
        <w:t xml:space="preserve">Le vivant comme modèle</w:t>
      </w:r>
      <w:r>
        <w:t xml:space="preserve">. Albin Michel.</w:t>
      </w:r>
    </w:p>
    <w:p>
      <w:pPr>
        <w:numPr>
          <w:ilvl w:val="0"/>
          <w:numId w:val="1023"/>
        </w:numPr>
        <w:pStyle w:val="Compact"/>
      </w:pPr>
      <w:r>
        <w:t xml:space="preserve">Ceebios (2019-2024).</w:t>
      </w:r>
      <w:r>
        <w:t xml:space="preserve"> </w:t>
      </w:r>
      <w:r>
        <w:rPr>
          <w:iCs/>
          <w:i/>
        </w:rPr>
        <w:t xml:space="preserve">Rapport Biomimétisme en France : panorama et plan d’action</w:t>
      </w:r>
      <w:r>
        <w:t xml:space="preserve">. En ligne.</w:t>
      </w:r>
    </w:p>
    <w:p>
      <w:pPr>
        <w:numPr>
          <w:ilvl w:val="0"/>
          <w:numId w:val="1023"/>
        </w:numPr>
        <w:pStyle w:val="Compact"/>
      </w:pPr>
      <w:r>
        <w:t xml:space="preserve">Ceebios / ADEME. Rapports « Bâtiment et biomimétisme ». En ligne.</w:t>
      </w:r>
    </w:p>
    <w:p>
      <w:pPr>
        <w:numPr>
          <w:ilvl w:val="0"/>
          <w:numId w:val="1023"/>
        </w:numPr>
        <w:pStyle w:val="Compact"/>
      </w:pPr>
      <w:r>
        <w:t xml:space="preserve">Livage, J. Travaux sur la chimie douce, Collège de France.</w:t>
      </w:r>
    </w:p>
    <w:p>
      <w:pPr>
        <w:numPr>
          <w:ilvl w:val="0"/>
          <w:numId w:val="1023"/>
        </w:numPr>
        <w:pStyle w:val="Compact"/>
      </w:pPr>
      <w:r>
        <w:t xml:space="preserve">Delannoy, E. (2014).</w:t>
      </w:r>
      <w:r>
        <w:t xml:space="preserve"> </w:t>
      </w:r>
      <w:r>
        <w:rPr>
          <w:iCs/>
          <w:i/>
        </w:rPr>
        <w:t xml:space="preserve">Permaéconomie</w:t>
      </w:r>
      <w:r>
        <w:t xml:space="preserve">. Wildproject.</w:t>
      </w:r>
    </w:p>
    <w:p>
      <w:pPr>
        <w:numPr>
          <w:ilvl w:val="0"/>
          <w:numId w:val="1023"/>
        </w:numPr>
        <w:pStyle w:val="Compact"/>
      </w:pPr>
      <w:r>
        <w:t xml:space="preserve">Fayemi, P.-E. (2016).</w:t>
      </w:r>
      <w:r>
        <w:t xml:space="preserve"> </w:t>
      </w:r>
      <w:r>
        <w:rPr>
          <w:iCs/>
          <w:i/>
        </w:rPr>
        <w:t xml:space="preserve">Innovation par la conception bio-inspirée : proposition d’un modèle structurant les méthodes et outils biomimétiques</w:t>
      </w:r>
      <w:r>
        <w:t xml:space="preserve">. Thèse, Arts et Métiers ParisTech.</w:t>
      </w:r>
    </w:p>
    <w:bookmarkEnd w:id="62"/>
    <w:bookmarkStart w:id="63" w:name="critique-et-durabilité"/>
    <w:p>
      <w:pPr>
        <w:pStyle w:val="Heading3"/>
      </w:pPr>
      <w:r>
        <w:t xml:space="preserve">11.9 Critique et durabilité</w:t>
      </w:r>
    </w:p>
    <w:p>
      <w:pPr>
        <w:numPr>
          <w:ilvl w:val="0"/>
          <w:numId w:val="1024"/>
        </w:numPr>
        <w:pStyle w:val="Compact"/>
      </w:pPr>
      <w:r>
        <w:t xml:space="preserve">Birkeland, J. (2008).</w:t>
      </w:r>
      <w:r>
        <w:t xml:space="preserve"> </w:t>
      </w:r>
      <w:r>
        <w:rPr>
          <w:iCs/>
          <w:i/>
        </w:rPr>
        <w:t xml:space="preserve">Positive Development: From Vicious Circles to Virtuous Cycles through Built Environment Design</w:t>
      </w:r>
      <w:r>
        <w:t xml:space="preserve">. Earthscan.</w:t>
      </w:r>
    </w:p>
    <w:p>
      <w:pPr>
        <w:numPr>
          <w:ilvl w:val="0"/>
          <w:numId w:val="1024"/>
        </w:numPr>
        <w:pStyle w:val="Compact"/>
      </w:pPr>
      <w:r>
        <w:t xml:space="preserve">Reed, B. (2007). « Shifting from sustainability to regeneration ».</w:t>
      </w:r>
      <w:r>
        <w:t xml:space="preserve"> </w:t>
      </w:r>
      <w:r>
        <w:rPr>
          <w:iCs/>
          <w:i/>
        </w:rPr>
        <w:t xml:space="preserve">Building Research &amp; Information</w:t>
      </w:r>
      <w:r>
        <w:t xml:space="preserve">, 35(6).</w:t>
      </w:r>
    </w:p>
    <w:p>
      <w:pPr>
        <w:numPr>
          <w:ilvl w:val="0"/>
          <w:numId w:val="1024"/>
        </w:numPr>
        <w:pStyle w:val="Compact"/>
      </w:pPr>
      <w:r>
        <w:t xml:space="preserve">McDonough, W., Braungart, M. (2002).</w:t>
      </w:r>
      <w:r>
        <w:t xml:space="preserve"> </w:t>
      </w:r>
      <w:r>
        <w:rPr>
          <w:iCs/>
          <w:i/>
        </w:rPr>
        <w:t xml:space="preserve">Cradle to Cradle</w:t>
      </w:r>
      <w:r>
        <w:t xml:space="preserve">. North Point Press.</w:t>
      </w:r>
    </w:p>
    <w:p>
      <w:pPr>
        <w:numPr>
          <w:ilvl w:val="0"/>
          <w:numId w:val="1024"/>
        </w:numPr>
        <w:pStyle w:val="Compact"/>
      </w:pPr>
      <w:r>
        <w:t xml:space="preserve">Speck, O., Speck, D., Horn, R., Gantner, J., Sedlbauer, K. P. (2017). « Biomimetic bio-inspired biomorph sustainable? An attempt to classify and clarify biology-derived technical developments ».</w:t>
      </w:r>
      <w:r>
        <w:t xml:space="preserve"> </w:t>
      </w:r>
      <w:r>
        <w:rPr>
          <w:iCs/>
          <w:i/>
        </w:rPr>
        <w:t xml:space="preserve">Bioinspiration &amp; Biomimetics</w:t>
      </w:r>
      <w:r>
        <w:t xml:space="preserve">, 12(1).</w:t>
      </w:r>
    </w:p>
    <w:p>
      <w:pPr>
        <w:numPr>
          <w:ilvl w:val="0"/>
          <w:numId w:val="1024"/>
        </w:numPr>
        <w:pStyle w:val="Compact"/>
      </w:pPr>
      <w:r>
        <w:t xml:space="preserve">de Freitas Netto, S. V. et al. (2020). « Concepts and forms of greenwashing: a systematic review ».</w:t>
      </w:r>
      <w:r>
        <w:t xml:space="preserve"> </w:t>
      </w:r>
      <w:r>
        <w:rPr>
          <w:iCs/>
          <w:i/>
        </w:rPr>
        <w:t xml:space="preserve">Environmental Sciences Europe</w:t>
      </w:r>
      <w:r>
        <w:t xml:space="preserve">, 32.</w:t>
      </w:r>
    </w:p>
    <w:p>
      <w:pPr>
        <w:numPr>
          <w:ilvl w:val="0"/>
          <w:numId w:val="1024"/>
        </w:numPr>
        <w:pStyle w:val="Compact"/>
      </w:pPr>
      <w:r>
        <w:t xml:space="preserve">« Defining Greenwashing: A Concept Analysis » (2024).</w:t>
      </w:r>
      <w:r>
        <w:t xml:space="preserve"> </w:t>
      </w:r>
      <w:r>
        <w:rPr>
          <w:iCs/>
          <w:i/>
        </w:rPr>
        <w:t xml:space="preserve">Sustainability</w:t>
      </w:r>
      <w:r>
        <w:t xml:space="preserve">, 16(20), 9055.</w:t>
      </w:r>
    </w:p>
    <w:p>
      <w:pPr>
        <w:numPr>
          <w:ilvl w:val="0"/>
          <w:numId w:val="1024"/>
        </w:numPr>
        <w:pStyle w:val="Compact"/>
      </w:pPr>
      <w:r>
        <w:t xml:space="preserve">Protocole de Nagoya (2010). Convention sur la diversité biologique, ONU.</w:t>
      </w:r>
    </w:p>
    <w:bookmarkEnd w:id="63"/>
    <w:bookmarkStart w:id="64" w:name="prospective-et-marché"/>
    <w:p>
      <w:pPr>
        <w:pStyle w:val="Heading3"/>
      </w:pPr>
      <w:r>
        <w:t xml:space="preserve">11.10 Prospective et marché</w:t>
      </w:r>
    </w:p>
    <w:p>
      <w:pPr>
        <w:numPr>
          <w:ilvl w:val="0"/>
          <w:numId w:val="1025"/>
        </w:numPr>
        <w:pStyle w:val="Compact"/>
      </w:pPr>
      <w:r>
        <w:t xml:space="preserve">Fermanian Business &amp; Economic Institute (2010).</w:t>
      </w:r>
      <w:r>
        <w:t xml:space="preserve"> </w:t>
      </w:r>
      <w:r>
        <w:rPr>
          <w:iCs/>
          <w:i/>
        </w:rPr>
        <w:t xml:space="preserve">Global Biomimicry Efforts: An Economic Game Changer</w:t>
      </w:r>
      <w:r>
        <w:t xml:space="preserve">. Point Loma Nazarene University.</w:t>
      </w:r>
      <w:r>
        <w:t xml:space="preserve"> </w:t>
      </w:r>
      <w:r>
        <w:rPr>
          <w:bCs/>
          <w:b/>
        </w:rPr>
        <w:t xml:space="preserve">Source des projections « 1 000 Md$ / 35 Md$ US / 1,6 M d’emplois » reprises partout — projections non validées, à contextualiser</w:t>
      </w:r>
    </w:p>
    <w:p>
      <w:pPr>
        <w:numPr>
          <w:ilvl w:val="0"/>
          <w:numId w:val="1025"/>
        </w:numPr>
        <w:pStyle w:val="Compact"/>
      </w:pPr>
      <w:r>
        <w:t xml:space="preserve">« Biomimetics: forecasting the future of science, engineering, and medicine » (2015).</w:t>
      </w:r>
      <w:r>
        <w:t xml:space="preserve"> </w:t>
      </w:r>
      <w:r>
        <w:rPr>
          <w:iCs/>
          <w:i/>
        </w:rPr>
        <w:t xml:space="preserve">International Journal of Nanomedicine</w:t>
      </w:r>
      <w:r>
        <w:t xml:space="preserve">, PMC4572716.</w:t>
      </w:r>
    </w:p>
    <w:p>
      <w:pPr>
        <w:numPr>
          <w:ilvl w:val="0"/>
          <w:numId w:val="1025"/>
        </w:numPr>
        <w:pStyle w:val="Compact"/>
      </w:pPr>
      <w:r>
        <w:t xml:space="preserve">Learn Biomimicry (2025).</w:t>
      </w:r>
      <w:r>
        <w:t xml:space="preserve"> </w:t>
      </w:r>
      <w:r>
        <w:rPr>
          <w:iCs/>
          <w:i/>
        </w:rPr>
        <w:t xml:space="preserve">Ten Biomimicry Breakthroughs from 2025</w:t>
      </w:r>
      <w:r>
        <w:t xml:space="preserve">. Recense notamment PolyGone Systems (filtre à microplastiques inspiré des racines aquatiques flottantes, 98 % de captation passive) et Limax Biosciences (adhésif chirurgical inspiré de la limace</w:t>
      </w:r>
      <w:r>
        <w:t xml:space="preserve"> </w:t>
      </w:r>
      <w:r>
        <w:rPr>
          <w:iCs/>
          <w:i/>
        </w:rPr>
        <w:t xml:space="preserve">Arion subfuscus</w:t>
      </w:r>
      <w:r>
        <w:t xml:space="preserve">, Harvard).</w:t>
      </w:r>
    </w:p>
    <w:p>
      <w:pPr>
        <w:numPr>
          <w:ilvl w:val="0"/>
          <w:numId w:val="1025"/>
        </w:numPr>
        <w:pStyle w:val="Compact"/>
      </w:pPr>
      <w:r>
        <w:t xml:space="preserve">Biomimicry Institute (2025). Lancement du Co-Lab</w:t>
      </w:r>
      <w:r>
        <w:t xml:space="preserve"> </w:t>
      </w:r>
      <w:r>
        <w:rPr>
          <w:iCs/>
          <w:i/>
        </w:rPr>
        <w:t xml:space="preserve">Buildings, Cities and Infrastructure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plan-dexploitation-du-dossier"/>
    <w:p>
      <w:pPr>
        <w:pStyle w:val="Heading2"/>
      </w:pPr>
      <w:r>
        <w:t xml:space="preserve">12. Plan d’exploitation du dossier</w:t>
      </w:r>
    </w:p>
    <w:bookmarkStart w:id="66" w:name="parcours-de-lecture-en-3-niveaux"/>
    <w:p>
      <w:pPr>
        <w:pStyle w:val="Heading3"/>
      </w:pPr>
      <w:r>
        <w:t xml:space="preserve">12.1 Parcours de lecture en 3 niveaux</w:t>
      </w:r>
    </w:p>
    <w:p>
      <w:pPr>
        <w:pStyle w:val="FirstParagraph"/>
      </w:pPr>
      <w:r>
        <w:rPr>
          <w:bCs/>
          <w:b/>
        </w:rPr>
        <w:t xml:space="preserve">Niveau 1 — comprendre le champ (10 h)</w:t>
      </w:r>
      <w:r>
        <w:t xml:space="preserve"> </w:t>
      </w:r>
      <w:r>
        <w:t xml:space="preserve">ISO 18458 (25 p.) → Vincent et al. 2006 → Benyus 1997 (chap. 1 et 8) → Chapelle &amp; Raskin 2020 → Aboulnaga &amp; Helmy 2022 (critique)</w:t>
      </w:r>
    </w:p>
    <w:p>
      <w:pPr>
        <w:pStyle w:val="BodyText"/>
      </w:pPr>
      <w:r>
        <w:rPr>
          <w:bCs/>
          <w:b/>
        </w:rPr>
        <w:t xml:space="preserve">Niveau 2 — maîtriser la méthode (30 h)</w:t>
      </w:r>
      <w:r>
        <w:t xml:space="preserve"> </w:t>
      </w:r>
      <w:r>
        <w:t xml:space="preserve">Helms/Vattam/Goel 2009 → Fayemi et al. 2017 → Fayemi thèse 2016 → Goel/McAdams/Stone 2014 → ISO/TR 23847 (TRIZ) → pratique sur AskNature</w:t>
      </w:r>
    </w:p>
    <w:p>
      <w:pPr>
        <w:pStyle w:val="BodyText"/>
      </w:pPr>
      <w:r>
        <w:rPr>
          <w:bCs/>
          <w:b/>
        </w:rPr>
        <w:t xml:space="preserve">Niveau 3 — spécialisation</w:t>
      </w:r>
      <w:r>
        <w:t xml:space="preserve"> </w:t>
      </w:r>
      <w:r>
        <w:t xml:space="preserve">Choisir un domaine (§6) et remonter ses revues systématiques les plus récentes, puis ses articles primaires.</w:t>
      </w:r>
    </w:p>
    <w:bookmarkEnd w:id="66"/>
    <w:bookmarkStart w:id="67" w:name="requêtes-de-recherche-prêtes-à-lemploi"/>
    <w:p>
      <w:pPr>
        <w:pStyle w:val="Heading3"/>
      </w:pPr>
      <w:r>
        <w:t xml:space="preserve">12.2 Requêtes de recherche prêtes à l’emploi</w:t>
      </w:r>
    </w:p>
    <w:p>
      <w:pPr>
        <w:pStyle w:val="FirstParagraph"/>
      </w:pPr>
      <w:r>
        <w:rPr>
          <w:bCs/>
          <w:b/>
        </w:rPr>
        <w:t xml:space="preserve">Web of Science / Scopus</w:t>
      </w:r>
    </w:p>
    <w:p>
      <w:pPr>
        <w:pStyle w:val="SourceCode"/>
      </w:pPr>
      <w:r>
        <w:rPr>
          <w:rStyle w:val="VerbatimChar"/>
        </w:rPr>
        <w:t xml:space="preserve">TS=(biomimetic* OR biomimicry OR "bio-inspired design" OR bionic*)</w:t>
      </w:r>
      <w:r>
        <w:br/>
      </w:r>
      <w:r>
        <w:rPr>
          <w:rStyle w:val="VerbatimChar"/>
        </w:rPr>
        <w:t xml:space="preserve">AND TS=(method* OR framework OR "systematic review")</w:t>
      </w:r>
      <w:r>
        <w:br/>
      </w:r>
      <w:r>
        <w:rPr>
          <w:rStyle w:val="VerbatimChar"/>
        </w:rPr>
        <w:t xml:space="preserve">AND PY=2018-2026</w:t>
      </w:r>
    </w:p>
    <w:p>
      <w:pPr>
        <w:pStyle w:val="FirstParagraph"/>
      </w:pPr>
      <w:r>
        <w:rPr>
          <w:bCs/>
          <w:b/>
        </w:rPr>
        <w:t xml:space="preserve">Ciblage domaine</w:t>
      </w:r>
    </w:p>
    <w:p>
      <w:pPr>
        <w:pStyle w:val="SourceCode"/>
      </w:pPr>
      <w:r>
        <w:rPr>
          <w:rStyle w:val="VerbatimChar"/>
        </w:rPr>
        <w:t xml:space="preserve">TS=("bio-inspired" OR biomimet*) AND TS=(architecture OR "built environment")</w:t>
      </w:r>
      <w:r>
        <w:br/>
      </w:r>
      <w:r>
        <w:rPr>
          <w:rStyle w:val="VerbatimChar"/>
        </w:rPr>
        <w:t xml:space="preserve">AND DT=(Review)</w:t>
      </w:r>
    </w:p>
    <w:p>
      <w:pPr>
        <w:pStyle w:val="FirstParagraph"/>
      </w:pPr>
      <w:r>
        <w:rPr>
          <w:bCs/>
          <w:b/>
        </w:rPr>
        <w:t xml:space="preserve">Fronts IA × biomimétisme</w:t>
      </w:r>
    </w:p>
    <w:p>
      <w:pPr>
        <w:pStyle w:val="SourceCode"/>
      </w:pPr>
      <w:r>
        <w:rPr>
          <w:rStyle w:val="VerbatimChar"/>
        </w:rPr>
        <w:t xml:space="preserve">TS=(biomimet* OR "bio-inspired design") AND TS=("large language model" OR "generative AI" OR "machine learning")</w:t>
      </w:r>
      <w:r>
        <w:br/>
      </w:r>
      <w:r>
        <w:rPr>
          <w:rStyle w:val="VerbatimChar"/>
        </w:rPr>
        <w:t xml:space="preserve">AND PY=2023-2026</w:t>
      </w:r>
    </w:p>
    <w:p>
      <w:pPr>
        <w:pStyle w:val="FirstParagraph"/>
      </w:pPr>
      <w:r>
        <w:rPr>
          <w:bCs/>
          <w:b/>
        </w:rPr>
        <w:t xml:space="preserve">Google Scholar — chaînage de citations</w:t>
      </w:r>
      <w:r>
        <w:t xml:space="preserve"> </w:t>
      </w:r>
      <w:r>
        <w:t xml:space="preserve">Partir de Vincent 2006 et Fayemi 2017, remonter les citations postérieures à 2022 : c’est la méthode la plus efficace pour cartographier le front méthodologique.</w:t>
      </w:r>
    </w:p>
    <w:p>
      <w:pPr>
        <w:pStyle w:val="BodyText"/>
      </w:pPr>
      <w:r>
        <w:rPr>
          <w:bCs/>
          <w:b/>
        </w:rPr>
        <w:t xml:space="preserve">Bases gratuites</w:t>
      </w:r>
      <w:r>
        <w:t xml:space="preserve"> </w:t>
      </w:r>
      <w:r>
        <w:t xml:space="preserve">: PubMed Central, DOAJ, HAL (dépôt francophone — beaucoup de thèses Ceebios/Arts et Métiers), theses.fr, arXiv (cs.AI, cond-mat.soft), MDPI</w:t>
      </w:r>
      <w:r>
        <w:t xml:space="preserve"> </w:t>
      </w:r>
      <w:r>
        <w:rPr>
          <w:iCs/>
          <w:i/>
        </w:rPr>
        <w:t xml:space="preserve">Biomimetics</w:t>
      </w:r>
      <w:r>
        <w:t xml:space="preserve"> </w:t>
      </w:r>
      <w:r>
        <w:t xml:space="preserve">(intégralement open access).</w:t>
      </w:r>
    </w:p>
    <w:bookmarkEnd w:id="67"/>
    <w:bookmarkStart w:id="68" w:name="critères-de-tri-de-la-littérature"/>
    <w:p>
      <w:pPr>
        <w:pStyle w:val="Heading3"/>
      </w:pPr>
      <w:r>
        <w:t xml:space="preserve">12.3 Critères de tri de la littérature</w:t>
      </w:r>
    </w:p>
    <w:p>
      <w:pPr>
        <w:pStyle w:val="FirstParagraph"/>
      </w:pPr>
      <w:r>
        <w:t xml:space="preserve">Grille de qualité à appliquer à toute référence trouvée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Modèle biologique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Est-il identifié à l’espèce près et documenté par une source biologique primaire 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Principe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principe fonctionnel est-il explicité et abstrait, ou seulement la forme 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passage du principe à la solution technique est-il tracé 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a-t-il mesure comparative avec une solution non bio-inspirée 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Soutenabilité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a-t-il ACV ou évaluation quantitative, ou seulement une affirmation 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Échelle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Prototype de labo, démonstrateur, ou produit industrialisé 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Conformité ISO 18458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processus revendiqué correspond-il à la norme ?</w:t>
            </w:r>
          </w:p>
        </w:tc>
      </w:tr>
    </w:tbl>
    <w:p>
      <w:pPr>
        <w:pStyle w:val="BodyText"/>
      </w:pPr>
      <w:r>
        <w:t xml:space="preserve">Une référence qui échoue sur 4 critères ou plus relève du biomorphisme ou de la communication, pas du corpus scientifique.</w:t>
      </w:r>
    </w:p>
    <w:bookmarkEnd w:id="68"/>
    <w:bookmarkStart w:id="69" w:name="angles-morts-documentés-du-champ"/>
    <w:p>
      <w:pPr>
        <w:pStyle w:val="Heading3"/>
      </w:pPr>
      <w:r>
        <w:t xml:space="preserve">12.4 Angles morts documentés du champ</w:t>
      </w:r>
    </w:p>
    <w:p>
      <w:pPr>
        <w:pStyle w:val="FirstParagraph"/>
      </w:pPr>
      <w:r>
        <w:t xml:space="preserve">À exploiter si un travail original est visé — ce sont les niches réellement ouvertes :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Abstraction du principe</w:t>
      </w:r>
      <w:r>
        <w:t xml:space="preserve"> </w:t>
      </w:r>
      <w:r>
        <w:t xml:space="preserve">: l’étape la moins outillée de tout le processus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Évaluation ex post</w:t>
      </w:r>
      <w:r>
        <w:t xml:space="preserve"> </w:t>
      </w:r>
      <w:r>
        <w:t xml:space="preserve">: quasi-absence d’ACV comparatives sur les produits biomimétiques commercialisés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Passage à l’échelle</w:t>
      </w:r>
      <w:r>
        <w:t xml:space="preserve"> </w:t>
      </w:r>
      <w:r>
        <w:t xml:space="preserve">: ratio preuves de concept / industrialisations extrêmement défavorable, jamais quantifié rigoureusement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Niveau écosystème</w:t>
      </w:r>
      <w:r>
        <w:t xml:space="preserve"> </w:t>
      </w:r>
      <w:r>
        <w:t xml:space="preserve">: le niveau 3 de Zari reste massivement sous-exploré par rapport aux niveaux organisme et comportement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Formation</w:t>
      </w:r>
      <w:r>
        <w:t xml:space="preserve"> </w:t>
      </w:r>
      <w:r>
        <w:t xml:space="preserve">: absence de cursus diplômants en France, constat explicite du Ceebios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Justice et APA</w:t>
      </w:r>
      <w:r>
        <w:t xml:space="preserve"> </w:t>
      </w:r>
      <w:r>
        <w:t xml:space="preserve">: quasi-aucune littérature sur l’application effective du Protocole de Nagoya aux innovations biomimétiques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Vérification des attributions historiques</w:t>
      </w:r>
      <w:r>
        <w:t xml:space="preserve"> </w:t>
      </w:r>
      <w:r>
        <w:t xml:space="preserve">: plusieurs cas canoniques (Shinkansen, Eastgate, Velcro) sont racontés de manière approximative dans 90 % de la littérature secondaire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Dossier constitué à partir de sources primaires (normes ISO, articles de revue à comité de lecture), de revues systématiques 2023-2026, et des ressources de l’écosystème francophone (Ceebios). Les chiffres de marché issus du rapport Fermanian 2010 sont signalés comme des projections non validées.</w:t>
      </w:r>
    </w:p>
    <w:bookmarkEnd w:id="69"/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28">
    <w:nsid w:val="A994128"/>
    <w:multiLevelType w:val="multilevel"/>
    <w:lvl w:ilvl="0">
      <w:start w:val="28"/>
      <w:numFmt w:val="decimal"/>
      <w:lvlText w:val="%1."/>
      <w:lvlJc w:val="left"/>
      <w:pPr>
        <w:ind w:left="720" w:hanging="480"/>
      </w:pPr>
    </w:lvl>
    <w:lvl w:ilvl="1">
      <w:start w:val="28"/>
      <w:numFmt w:val="decimal"/>
      <w:lvlText w:val="%2."/>
      <w:lvlJc w:val="left"/>
      <w:pPr>
        <w:ind w:left="1440" w:hanging="480"/>
      </w:pPr>
    </w:lvl>
    <w:lvl w:ilvl="2">
      <w:start w:val="28"/>
      <w:numFmt w:val="decimal"/>
      <w:lvlText w:val="%3."/>
      <w:lvlJc w:val="left"/>
      <w:pPr>
        <w:ind w:left="2160" w:hanging="480"/>
      </w:pPr>
    </w:lvl>
    <w:lvl w:ilvl="3">
      <w:start w:val="28"/>
      <w:numFmt w:val="decimal"/>
      <w:lvlText w:val="%4."/>
      <w:lvlJc w:val="left"/>
      <w:pPr>
        <w:ind w:left="2880" w:hanging="480"/>
      </w:pPr>
    </w:lvl>
    <w:lvl w:ilvl="4">
      <w:start w:val="28"/>
      <w:numFmt w:val="decimal"/>
      <w:lvlText w:val="%5."/>
      <w:lvlJc w:val="left"/>
      <w:pPr>
        <w:ind w:left="3600" w:hanging="480"/>
      </w:pPr>
    </w:lvl>
    <w:lvl w:ilvl="5">
      <w:start w:val="28"/>
      <w:numFmt w:val="decimal"/>
      <w:lvlText w:val="%6."/>
      <w:lvlJc w:val="left"/>
      <w:pPr>
        <w:ind w:left="4320" w:hanging="480"/>
      </w:pPr>
    </w:lvl>
    <w:lvl w:ilvl="6">
      <w:start w:val="28"/>
      <w:numFmt w:val="decimal"/>
      <w:lvlText w:val="%7."/>
      <w:lvlJc w:val="left"/>
      <w:pPr>
        <w:ind w:left="5040" w:hanging="480"/>
      </w:pPr>
    </w:lvl>
    <w:lvl w:ilvl="7">
      <w:start w:val="28"/>
      <w:numFmt w:val="decimal"/>
      <w:lvlText w:val="%8."/>
      <w:lvlJc w:val="left"/>
      <w:pPr>
        <w:ind w:left="5760" w:hanging="480"/>
      </w:pPr>
    </w:lvl>
    <w:lvl w:ilvl="8">
      <w:start w:val="28"/>
      <w:numFmt w:val="decimal"/>
      <w:lvlText w:val="%9."/>
      <w:lvlJc w:val="left"/>
      <w:pPr>
        <w:ind w:left="6480" w:hanging="480"/>
      </w:pPr>
    </w:lvl>
  </w:abstractNum>
  <w:abstractNum w:abstractNumId="994137">
    <w:nsid w:val="A994137"/>
    <w:multiLevelType w:val="multilevel"/>
    <w:lvl w:ilvl="0">
      <w:start w:val="37"/>
      <w:numFmt w:val="decimal"/>
      <w:lvlText w:val="%1."/>
      <w:lvlJc w:val="left"/>
      <w:pPr>
        <w:ind w:left="720" w:hanging="480"/>
      </w:pPr>
    </w:lvl>
    <w:lvl w:ilvl="1">
      <w:start w:val="37"/>
      <w:numFmt w:val="decimal"/>
      <w:lvlText w:val="%2."/>
      <w:lvlJc w:val="left"/>
      <w:pPr>
        <w:ind w:left="1440" w:hanging="480"/>
      </w:pPr>
    </w:lvl>
    <w:lvl w:ilvl="2">
      <w:start w:val="37"/>
      <w:numFmt w:val="decimal"/>
      <w:lvlText w:val="%3."/>
      <w:lvlJc w:val="left"/>
      <w:pPr>
        <w:ind w:left="2160" w:hanging="480"/>
      </w:pPr>
    </w:lvl>
    <w:lvl w:ilvl="3">
      <w:start w:val="37"/>
      <w:numFmt w:val="decimal"/>
      <w:lvlText w:val="%4."/>
      <w:lvlJc w:val="left"/>
      <w:pPr>
        <w:ind w:left="2880" w:hanging="480"/>
      </w:pPr>
    </w:lvl>
    <w:lvl w:ilvl="4">
      <w:start w:val="37"/>
      <w:numFmt w:val="decimal"/>
      <w:lvlText w:val="%5."/>
      <w:lvlJc w:val="left"/>
      <w:pPr>
        <w:ind w:left="3600" w:hanging="480"/>
      </w:pPr>
    </w:lvl>
    <w:lvl w:ilvl="5">
      <w:start w:val="37"/>
      <w:numFmt w:val="decimal"/>
      <w:lvlText w:val="%6."/>
      <w:lvlJc w:val="left"/>
      <w:pPr>
        <w:ind w:left="4320" w:hanging="480"/>
      </w:pPr>
    </w:lvl>
    <w:lvl w:ilvl="6">
      <w:start w:val="37"/>
      <w:numFmt w:val="decimal"/>
      <w:lvlText w:val="%7."/>
      <w:lvlJc w:val="left"/>
      <w:pPr>
        <w:ind w:left="5040" w:hanging="480"/>
      </w:pPr>
    </w:lvl>
    <w:lvl w:ilvl="7">
      <w:start w:val="37"/>
      <w:numFmt w:val="decimal"/>
      <w:lvlText w:val="%8."/>
      <w:lvlJc w:val="left"/>
      <w:pPr>
        <w:ind w:left="5760" w:hanging="480"/>
      </w:pPr>
    </w:lvl>
    <w:lvl w:ilvl="8">
      <w:start w:val="37"/>
      <w:numFmt w:val="decimal"/>
      <w:lvlText w:val="%9."/>
      <w:lvlJc w:val="left"/>
      <w:pPr>
        <w:ind w:left="6480" w:hanging="480"/>
      </w:pPr>
    </w:lvl>
  </w:abstractNum>
  <w:abstractNum w:abstractNumId="994148">
    <w:nsid w:val="A994148"/>
    <w:multiLevelType w:val="multilevel"/>
    <w:lvl w:ilvl="0">
      <w:start w:val="48"/>
      <w:numFmt w:val="decimal"/>
      <w:lvlText w:val="%1."/>
      <w:lvlJc w:val="left"/>
      <w:pPr>
        <w:ind w:left="720" w:hanging="480"/>
      </w:pPr>
    </w:lvl>
    <w:lvl w:ilvl="1">
      <w:start w:val="48"/>
      <w:numFmt w:val="decimal"/>
      <w:lvlText w:val="%2."/>
      <w:lvlJc w:val="left"/>
      <w:pPr>
        <w:ind w:left="1440" w:hanging="480"/>
      </w:pPr>
    </w:lvl>
    <w:lvl w:ilvl="2">
      <w:start w:val="48"/>
      <w:numFmt w:val="decimal"/>
      <w:lvlText w:val="%3."/>
      <w:lvlJc w:val="left"/>
      <w:pPr>
        <w:ind w:left="2160" w:hanging="480"/>
      </w:pPr>
    </w:lvl>
    <w:lvl w:ilvl="3">
      <w:start w:val="48"/>
      <w:numFmt w:val="decimal"/>
      <w:lvlText w:val="%4."/>
      <w:lvlJc w:val="left"/>
      <w:pPr>
        <w:ind w:left="2880" w:hanging="480"/>
      </w:pPr>
    </w:lvl>
    <w:lvl w:ilvl="4">
      <w:start w:val="48"/>
      <w:numFmt w:val="decimal"/>
      <w:lvlText w:val="%5."/>
      <w:lvlJc w:val="left"/>
      <w:pPr>
        <w:ind w:left="3600" w:hanging="480"/>
      </w:pPr>
    </w:lvl>
    <w:lvl w:ilvl="5">
      <w:start w:val="48"/>
      <w:numFmt w:val="decimal"/>
      <w:lvlText w:val="%6."/>
      <w:lvlJc w:val="left"/>
      <w:pPr>
        <w:ind w:left="4320" w:hanging="480"/>
      </w:pPr>
    </w:lvl>
    <w:lvl w:ilvl="6">
      <w:start w:val="48"/>
      <w:numFmt w:val="decimal"/>
      <w:lvlText w:val="%7."/>
      <w:lvlJc w:val="left"/>
      <w:pPr>
        <w:ind w:left="5040" w:hanging="480"/>
      </w:pPr>
    </w:lvl>
    <w:lvl w:ilvl="7">
      <w:start w:val="48"/>
      <w:numFmt w:val="decimal"/>
      <w:lvlText w:val="%8."/>
      <w:lvlJc w:val="left"/>
      <w:pPr>
        <w:ind w:left="5760" w:hanging="480"/>
      </w:pPr>
    </w:lvl>
    <w:lvl w:ilvl="8">
      <w:start w:val="48"/>
      <w:numFmt w:val="decimal"/>
      <w:lvlText w:val="%9."/>
      <w:lvlJc w:val="left"/>
      <w:pPr>
        <w:ind w:left="6480" w:hanging="480"/>
      </w:pPr>
    </w:lvl>
  </w:abstractNum>
  <w:abstractNum w:abstractNumId="994159">
    <w:nsid w:val="A994159"/>
    <w:multiLevelType w:val="multilevel"/>
    <w:lvl w:ilvl="0">
      <w:start w:val="59"/>
      <w:numFmt w:val="decimal"/>
      <w:lvlText w:val="%1."/>
      <w:lvlJc w:val="left"/>
      <w:pPr>
        <w:ind w:left="720" w:hanging="480"/>
      </w:pPr>
    </w:lvl>
    <w:lvl w:ilvl="1">
      <w:start w:val="59"/>
      <w:numFmt w:val="decimal"/>
      <w:lvlText w:val="%2."/>
      <w:lvlJc w:val="left"/>
      <w:pPr>
        <w:ind w:left="1440" w:hanging="480"/>
      </w:pPr>
    </w:lvl>
    <w:lvl w:ilvl="2">
      <w:start w:val="59"/>
      <w:numFmt w:val="decimal"/>
      <w:lvlText w:val="%3."/>
      <w:lvlJc w:val="left"/>
      <w:pPr>
        <w:ind w:left="2160" w:hanging="480"/>
      </w:pPr>
    </w:lvl>
    <w:lvl w:ilvl="3">
      <w:start w:val="59"/>
      <w:numFmt w:val="decimal"/>
      <w:lvlText w:val="%4."/>
      <w:lvlJc w:val="left"/>
      <w:pPr>
        <w:ind w:left="2880" w:hanging="480"/>
      </w:pPr>
    </w:lvl>
    <w:lvl w:ilvl="4">
      <w:start w:val="59"/>
      <w:numFmt w:val="decimal"/>
      <w:lvlText w:val="%5."/>
      <w:lvlJc w:val="left"/>
      <w:pPr>
        <w:ind w:left="3600" w:hanging="480"/>
      </w:pPr>
    </w:lvl>
    <w:lvl w:ilvl="5">
      <w:start w:val="59"/>
      <w:numFmt w:val="decimal"/>
      <w:lvlText w:val="%6."/>
      <w:lvlJc w:val="left"/>
      <w:pPr>
        <w:ind w:left="4320" w:hanging="480"/>
      </w:pPr>
    </w:lvl>
    <w:lvl w:ilvl="6">
      <w:start w:val="59"/>
      <w:numFmt w:val="decimal"/>
      <w:lvlText w:val="%7."/>
      <w:lvlJc w:val="left"/>
      <w:pPr>
        <w:ind w:left="5040" w:hanging="480"/>
      </w:pPr>
    </w:lvl>
    <w:lvl w:ilvl="7">
      <w:start w:val="59"/>
      <w:numFmt w:val="decimal"/>
      <w:lvlText w:val="%8."/>
      <w:lvlJc w:val="left"/>
      <w:pPr>
        <w:ind w:left="5760" w:hanging="480"/>
      </w:pPr>
    </w:lvl>
    <w:lvl w:ilvl="8">
      <w:start w:val="59"/>
      <w:numFmt w:val="decimal"/>
      <w:lvlText w:val="%9."/>
      <w:lvlJc w:val="left"/>
      <w:pPr>
        <w:ind w:left="6480" w:hanging="480"/>
      </w:pPr>
    </w:lvl>
  </w:abstractNum>
  <w:abstractNum w:abstractNumId="994163">
    <w:nsid w:val="A994163"/>
    <w:multiLevelType w:val="multilevel"/>
    <w:lvl w:ilvl="0">
      <w:start w:val="63"/>
      <w:numFmt w:val="decimal"/>
      <w:lvlText w:val="%1."/>
      <w:lvlJc w:val="left"/>
      <w:pPr>
        <w:ind w:left="720" w:hanging="480"/>
      </w:pPr>
    </w:lvl>
    <w:lvl w:ilvl="1">
      <w:start w:val="63"/>
      <w:numFmt w:val="decimal"/>
      <w:lvlText w:val="%2."/>
      <w:lvlJc w:val="left"/>
      <w:pPr>
        <w:ind w:left="1440" w:hanging="480"/>
      </w:pPr>
    </w:lvl>
    <w:lvl w:ilvl="2">
      <w:start w:val="63"/>
      <w:numFmt w:val="decimal"/>
      <w:lvlText w:val="%3."/>
      <w:lvlJc w:val="left"/>
      <w:pPr>
        <w:ind w:left="2160" w:hanging="480"/>
      </w:pPr>
    </w:lvl>
    <w:lvl w:ilvl="3">
      <w:start w:val="63"/>
      <w:numFmt w:val="decimal"/>
      <w:lvlText w:val="%4."/>
      <w:lvlJc w:val="left"/>
      <w:pPr>
        <w:ind w:left="2880" w:hanging="480"/>
      </w:pPr>
    </w:lvl>
    <w:lvl w:ilvl="4">
      <w:start w:val="63"/>
      <w:numFmt w:val="decimal"/>
      <w:lvlText w:val="%5."/>
      <w:lvlJc w:val="left"/>
      <w:pPr>
        <w:ind w:left="3600" w:hanging="480"/>
      </w:pPr>
    </w:lvl>
    <w:lvl w:ilvl="5">
      <w:start w:val="63"/>
      <w:numFmt w:val="decimal"/>
      <w:lvlText w:val="%6."/>
      <w:lvlJc w:val="left"/>
      <w:pPr>
        <w:ind w:left="4320" w:hanging="480"/>
      </w:pPr>
    </w:lvl>
    <w:lvl w:ilvl="6">
      <w:start w:val="63"/>
      <w:numFmt w:val="decimal"/>
      <w:lvlText w:val="%7."/>
      <w:lvlJc w:val="left"/>
      <w:pPr>
        <w:ind w:left="5040" w:hanging="480"/>
      </w:pPr>
    </w:lvl>
    <w:lvl w:ilvl="7">
      <w:start w:val="63"/>
      <w:numFmt w:val="decimal"/>
      <w:lvlText w:val="%8."/>
      <w:lvlJc w:val="left"/>
      <w:pPr>
        <w:ind w:left="5760" w:hanging="480"/>
      </w:pPr>
    </w:lvl>
    <w:lvl w:ilvl="8">
      <w:start w:val="63"/>
      <w:numFmt w:val="decimal"/>
      <w:lvlText w:val="%9."/>
      <w:lvlJc w:val="left"/>
      <w:pPr>
        <w:ind w:left="6480" w:hanging="480"/>
      </w:pPr>
    </w:lvl>
  </w:abstractNum>
  <w:abstractNum w:abstractNumId="994170">
    <w:nsid w:val="A994170"/>
    <w:multiLevelType w:val="multilevel"/>
    <w:lvl w:ilvl="0">
      <w:start w:val="70"/>
      <w:numFmt w:val="decimal"/>
      <w:lvlText w:val="%1."/>
      <w:lvlJc w:val="left"/>
      <w:pPr>
        <w:ind w:left="720" w:hanging="480"/>
      </w:pPr>
    </w:lvl>
    <w:lvl w:ilvl="1">
      <w:start w:val="70"/>
      <w:numFmt w:val="decimal"/>
      <w:lvlText w:val="%2."/>
      <w:lvlJc w:val="left"/>
      <w:pPr>
        <w:ind w:left="1440" w:hanging="480"/>
      </w:pPr>
    </w:lvl>
    <w:lvl w:ilvl="2">
      <w:start w:val="70"/>
      <w:numFmt w:val="decimal"/>
      <w:lvlText w:val="%3."/>
      <w:lvlJc w:val="left"/>
      <w:pPr>
        <w:ind w:left="2160" w:hanging="480"/>
      </w:pPr>
    </w:lvl>
    <w:lvl w:ilvl="3">
      <w:start w:val="70"/>
      <w:numFmt w:val="decimal"/>
      <w:lvlText w:val="%4."/>
      <w:lvlJc w:val="left"/>
      <w:pPr>
        <w:ind w:left="2880" w:hanging="480"/>
      </w:pPr>
    </w:lvl>
    <w:lvl w:ilvl="4">
      <w:start w:val="70"/>
      <w:numFmt w:val="decimal"/>
      <w:lvlText w:val="%5."/>
      <w:lvlJc w:val="left"/>
      <w:pPr>
        <w:ind w:left="3600" w:hanging="480"/>
      </w:pPr>
    </w:lvl>
    <w:lvl w:ilvl="5">
      <w:start w:val="70"/>
      <w:numFmt w:val="decimal"/>
      <w:lvlText w:val="%6."/>
      <w:lvlJc w:val="left"/>
      <w:pPr>
        <w:ind w:left="4320" w:hanging="480"/>
      </w:pPr>
    </w:lvl>
    <w:lvl w:ilvl="6">
      <w:start w:val="70"/>
      <w:numFmt w:val="decimal"/>
      <w:lvlText w:val="%7."/>
      <w:lvlJc w:val="left"/>
      <w:pPr>
        <w:ind w:left="5040" w:hanging="480"/>
      </w:pPr>
    </w:lvl>
    <w:lvl w:ilvl="7">
      <w:start w:val="70"/>
      <w:numFmt w:val="decimal"/>
      <w:lvlText w:val="%8."/>
      <w:lvlJc w:val="left"/>
      <w:pPr>
        <w:ind w:left="5760" w:hanging="480"/>
      </w:pPr>
    </w:lvl>
    <w:lvl w:ilvl="8">
      <w:start w:val="70"/>
      <w:numFmt w:val="decimal"/>
      <w:lvlText w:val="%9."/>
      <w:lvlJc w:val="left"/>
      <w:pPr>
        <w:ind w:left="6480" w:hanging="480"/>
      </w:pPr>
    </w:lvl>
  </w:abstractNum>
  <w:abstractNum w:abstractNumId="994177">
    <w:nsid w:val="A994177"/>
    <w:multiLevelType w:val="multilevel"/>
    <w:lvl w:ilvl="0">
      <w:start w:val="77"/>
      <w:numFmt w:val="decimal"/>
      <w:lvlText w:val="%1."/>
      <w:lvlJc w:val="left"/>
      <w:pPr>
        <w:ind w:left="720" w:hanging="480"/>
      </w:pPr>
    </w:lvl>
    <w:lvl w:ilvl="1">
      <w:start w:val="77"/>
      <w:numFmt w:val="decimal"/>
      <w:lvlText w:val="%2."/>
      <w:lvlJc w:val="left"/>
      <w:pPr>
        <w:ind w:left="1440" w:hanging="480"/>
      </w:pPr>
    </w:lvl>
    <w:lvl w:ilvl="2">
      <w:start w:val="77"/>
      <w:numFmt w:val="decimal"/>
      <w:lvlText w:val="%3."/>
      <w:lvlJc w:val="left"/>
      <w:pPr>
        <w:ind w:left="2160" w:hanging="480"/>
      </w:pPr>
    </w:lvl>
    <w:lvl w:ilvl="3">
      <w:start w:val="77"/>
      <w:numFmt w:val="decimal"/>
      <w:lvlText w:val="%4."/>
      <w:lvlJc w:val="left"/>
      <w:pPr>
        <w:ind w:left="2880" w:hanging="480"/>
      </w:pPr>
    </w:lvl>
    <w:lvl w:ilvl="4">
      <w:start w:val="77"/>
      <w:numFmt w:val="decimal"/>
      <w:lvlText w:val="%5."/>
      <w:lvlJc w:val="left"/>
      <w:pPr>
        <w:ind w:left="3600" w:hanging="480"/>
      </w:pPr>
    </w:lvl>
    <w:lvl w:ilvl="5">
      <w:start w:val="77"/>
      <w:numFmt w:val="decimal"/>
      <w:lvlText w:val="%6."/>
      <w:lvlJc w:val="left"/>
      <w:pPr>
        <w:ind w:left="4320" w:hanging="480"/>
      </w:pPr>
    </w:lvl>
    <w:lvl w:ilvl="6">
      <w:start w:val="77"/>
      <w:numFmt w:val="decimal"/>
      <w:lvlText w:val="%7."/>
      <w:lvlJc w:val="left"/>
      <w:pPr>
        <w:ind w:left="5040" w:hanging="480"/>
      </w:pPr>
    </w:lvl>
    <w:lvl w:ilvl="7">
      <w:start w:val="77"/>
      <w:numFmt w:val="decimal"/>
      <w:lvlText w:val="%8."/>
      <w:lvlJc w:val="left"/>
      <w:pPr>
        <w:ind w:left="5760" w:hanging="480"/>
      </w:pPr>
    </w:lvl>
    <w:lvl w:ilvl="8">
      <w:start w:val="7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8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9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20">
    <w:abstractNumId w:val="994137"/>
    <w:lvlOverride w:ilvl="0">
      <w:startOverride w:val="37"/>
    </w:lvlOverride>
    <w:lvlOverride w:ilvl="1">
      <w:startOverride w:val="37"/>
    </w:lvlOverride>
    <w:lvlOverride w:ilvl="2">
      <w:startOverride w:val="37"/>
    </w:lvlOverride>
    <w:lvlOverride w:ilvl="3">
      <w:startOverride w:val="37"/>
    </w:lvlOverride>
    <w:lvlOverride w:ilvl="4">
      <w:startOverride w:val="37"/>
    </w:lvlOverride>
    <w:lvlOverride w:ilvl="5">
      <w:startOverride w:val="37"/>
    </w:lvlOverride>
    <w:lvlOverride w:ilvl="6">
      <w:startOverride w:val="37"/>
    </w:lvlOverride>
    <w:lvlOverride w:ilvl="7">
      <w:startOverride w:val="37"/>
    </w:lvlOverride>
    <w:lvlOverride w:ilvl="8">
      <w:startOverride w:val="37"/>
    </w:lvlOverride>
  </w:num>
  <w:num w:numId="1021">
    <w:abstractNumId w:val="994148"/>
    <w:lvlOverride w:ilvl="0">
      <w:startOverride w:val="48"/>
    </w:lvlOverride>
    <w:lvlOverride w:ilvl="1">
      <w:startOverride w:val="48"/>
    </w:lvlOverride>
    <w:lvlOverride w:ilvl="2">
      <w:startOverride w:val="48"/>
    </w:lvlOverride>
    <w:lvlOverride w:ilvl="3">
      <w:startOverride w:val="48"/>
    </w:lvlOverride>
    <w:lvlOverride w:ilvl="4">
      <w:startOverride w:val="48"/>
    </w:lvlOverride>
    <w:lvlOverride w:ilvl="5">
      <w:startOverride w:val="48"/>
    </w:lvlOverride>
    <w:lvlOverride w:ilvl="6">
      <w:startOverride w:val="48"/>
    </w:lvlOverride>
    <w:lvlOverride w:ilvl="7">
      <w:startOverride w:val="48"/>
    </w:lvlOverride>
    <w:lvlOverride w:ilvl="8">
      <w:startOverride w:val="48"/>
    </w:lvlOverride>
  </w:num>
  <w:num w:numId="1022">
    <w:abstractNumId w:val="994159"/>
    <w:lvlOverride w:ilvl="0">
      <w:startOverride w:val="59"/>
    </w:lvlOverride>
    <w:lvlOverride w:ilvl="1">
      <w:startOverride w:val="59"/>
    </w:lvlOverride>
    <w:lvlOverride w:ilvl="2">
      <w:startOverride w:val="59"/>
    </w:lvlOverride>
    <w:lvlOverride w:ilvl="3">
      <w:startOverride w:val="59"/>
    </w:lvlOverride>
    <w:lvlOverride w:ilvl="4">
      <w:startOverride w:val="59"/>
    </w:lvlOverride>
    <w:lvlOverride w:ilvl="5">
      <w:startOverride w:val="59"/>
    </w:lvlOverride>
    <w:lvlOverride w:ilvl="6">
      <w:startOverride w:val="59"/>
    </w:lvlOverride>
    <w:lvlOverride w:ilvl="7">
      <w:startOverride w:val="59"/>
    </w:lvlOverride>
    <w:lvlOverride w:ilvl="8">
      <w:startOverride w:val="59"/>
    </w:lvlOverride>
  </w:num>
  <w:num w:numId="1023">
    <w:abstractNumId w:val="994163"/>
    <w:lvlOverride w:ilvl="0">
      <w:startOverride w:val="63"/>
    </w:lvlOverride>
    <w:lvlOverride w:ilvl="1">
      <w:startOverride w:val="63"/>
    </w:lvlOverride>
    <w:lvlOverride w:ilvl="2">
      <w:startOverride w:val="63"/>
    </w:lvlOverride>
    <w:lvlOverride w:ilvl="3">
      <w:startOverride w:val="63"/>
    </w:lvlOverride>
    <w:lvlOverride w:ilvl="4">
      <w:startOverride w:val="63"/>
    </w:lvlOverride>
    <w:lvlOverride w:ilvl="5">
      <w:startOverride w:val="63"/>
    </w:lvlOverride>
    <w:lvlOverride w:ilvl="6">
      <w:startOverride w:val="63"/>
    </w:lvlOverride>
    <w:lvlOverride w:ilvl="7">
      <w:startOverride w:val="63"/>
    </w:lvlOverride>
    <w:lvlOverride w:ilvl="8">
      <w:startOverride w:val="63"/>
    </w:lvlOverride>
  </w:num>
  <w:num w:numId="1024">
    <w:abstractNumId w:val="994170"/>
    <w:lvlOverride w:ilvl="0">
      <w:startOverride w:val="70"/>
    </w:lvlOverride>
    <w:lvlOverride w:ilvl="1">
      <w:startOverride w:val="70"/>
    </w:lvlOverride>
    <w:lvlOverride w:ilvl="2">
      <w:startOverride w:val="70"/>
    </w:lvlOverride>
    <w:lvlOverride w:ilvl="3">
      <w:startOverride w:val="70"/>
    </w:lvlOverride>
    <w:lvlOverride w:ilvl="4">
      <w:startOverride w:val="70"/>
    </w:lvlOverride>
    <w:lvlOverride w:ilvl="5">
      <w:startOverride w:val="70"/>
    </w:lvlOverride>
    <w:lvlOverride w:ilvl="6">
      <w:startOverride w:val="70"/>
    </w:lvlOverride>
    <w:lvlOverride w:ilvl="7">
      <w:startOverride w:val="70"/>
    </w:lvlOverride>
    <w:lvlOverride w:ilvl="8">
      <w:startOverride w:val="70"/>
    </w:lvlOverride>
  </w:num>
  <w:num w:numId="1025">
    <w:abstractNumId w:val="994177"/>
    <w:lvlOverride w:ilvl="0">
      <w:startOverride w:val="77"/>
    </w:lvlOverride>
    <w:lvlOverride w:ilvl="1">
      <w:startOverride w:val="77"/>
    </w:lvlOverride>
    <w:lvlOverride w:ilvl="2">
      <w:startOverride w:val="77"/>
    </w:lvlOverride>
    <w:lvlOverride w:ilvl="3">
      <w:startOverride w:val="77"/>
    </w:lvlOverride>
    <w:lvlOverride w:ilvl="4">
      <w:startOverride w:val="77"/>
    </w:lvlOverride>
    <w:lvlOverride w:ilvl="5">
      <w:startOverride w:val="77"/>
    </w:lvlOverride>
    <w:lvlOverride w:ilvl="6">
      <w:startOverride w:val="77"/>
    </w:lvlOverride>
    <w:lvlOverride w:ilvl="7">
      <w:startOverride w:val="77"/>
    </w:lvlOverride>
    <w:lvlOverride w:ilvl="8">
      <w:startOverride w:val="77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hAnsi="Calibri"/>
      <w:b/>
      <w:bCs/>
      <w:color w:val="1B4332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cs="Calibri" w:hAnsi="Calibri"/>
      <w:b/>
      <w:bCs/>
      <w:color w:val="1B4332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cs="Calibri" w:hAnsi="Calibri"/>
      <w:b/>
      <w:bCs/>
      <w:color w:val="2D6A4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cs="Calibri" w:hAnsi="Calibri"/>
      <w:b/>
      <w:bCs/>
      <w:color w:val="40916C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cs="Calibri" w:hAnsi="Calibri"/>
      <w:i/>
      <w:bCs/>
      <w:color w:val="52796F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Biomim��tisme ��� Dossier de litt��rature complet</dc:title>
  <dc:creator/>
  <cp:keywords/>
  <dcterms:created xsi:type="dcterms:W3CDTF">2026-07-31T15:48:17Z</dcterms:created>
  <dcterms:modified xsi:type="dcterms:W3CDTF">2026-07-31T15:48:17Z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��� juillet 2026</vt:lpwstr>
  </property>
  <property fmtid="{D5CDD505-2E9C-101B-9397-08002B2CF9AE}" pid="3" name="subtitle">
    <vt:lpwstr>��tat de l'art, corpus, m��thodes, ��cosyst��me, controverses et fronts de recherche</vt:lpwstr>
  </property>
</Properties>
</file>