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167EE" w14:textId="77777777" w:rsidR="009E7B45" w:rsidRDefault="003E3E35">
      <w:pPr>
        <w:pStyle w:val="FirstParagraph"/>
      </w:pPr>
      <w:r>
        <w:t xml:space="preserve"> </w:t>
      </w:r>
    </w:p>
    <w:p w14:paraId="687167EF" w14:textId="77777777" w:rsidR="009E7B45" w:rsidRDefault="003E3E35">
      <w:pPr>
        <w:pStyle w:val="Textoindependiente"/>
      </w:pPr>
      <w:r>
        <w:t xml:space="preserve"> </w:t>
      </w:r>
    </w:p>
    <w:p w14:paraId="687167F0" w14:textId="77777777" w:rsidR="009E7B45" w:rsidRDefault="003E3E35">
      <w:pPr>
        <w:pStyle w:val="Ttulo1"/>
      </w:pPr>
      <w:bookmarkStart w:id="0" w:name="title"/>
      <w:r>
        <w:t>The Role of Selective Attention in Value-Modulated Attentional Capture</w:t>
      </w:r>
    </w:p>
    <w:p w14:paraId="687167F1" w14:textId="77777777" w:rsidR="009E7B45" w:rsidRDefault="003E3E35">
      <w:pPr>
        <w:pStyle w:val="Author"/>
      </w:pPr>
      <w:r>
        <w:t xml:space="preserve"> </w:t>
      </w:r>
    </w:p>
    <w:p w14:paraId="687167F2" w14:textId="77777777" w:rsidR="009E7B45" w:rsidRPr="00AC4960" w:rsidRDefault="003E3E35">
      <w:pPr>
        <w:pStyle w:val="Author"/>
        <w:rPr>
          <w:lang w:val="es-ES"/>
        </w:rPr>
      </w:pPr>
      <w:r w:rsidRPr="00AC4960">
        <w:rPr>
          <w:lang w:val="es-ES"/>
        </w:rPr>
        <w:t>Francisco Garre-Frutos</w:t>
      </w:r>
      <w:r w:rsidRPr="00AC4960">
        <w:rPr>
          <w:vertAlign w:val="superscript"/>
          <w:lang w:val="es-ES"/>
        </w:rPr>
        <w:t>1</w:t>
      </w:r>
      <w:r w:rsidRPr="00AC4960">
        <w:rPr>
          <w:lang w:val="es-ES"/>
        </w:rPr>
        <w:t>, Miguel A. Vadillo</w:t>
      </w:r>
      <w:r w:rsidRPr="00AC4960">
        <w:rPr>
          <w:vertAlign w:val="superscript"/>
          <w:lang w:val="es-ES"/>
        </w:rPr>
        <w:t>2</w:t>
      </w:r>
      <w:r w:rsidRPr="00AC4960">
        <w:rPr>
          <w:lang w:val="es-ES"/>
        </w:rPr>
        <w:t>, Jan Theeuwes</w:t>
      </w:r>
      <w:r w:rsidRPr="00AC4960">
        <w:rPr>
          <w:vertAlign w:val="superscript"/>
          <w:lang w:val="es-ES"/>
        </w:rPr>
        <w:t>3,4</w:t>
      </w:r>
      <w:r w:rsidRPr="00AC4960">
        <w:rPr>
          <w:lang w:val="es-ES"/>
        </w:rPr>
        <w:t>, Dirk Van Moorselaar</w:t>
      </w:r>
      <w:r w:rsidRPr="00AC4960">
        <w:rPr>
          <w:vertAlign w:val="superscript"/>
          <w:lang w:val="es-ES"/>
        </w:rPr>
        <w:t>5</w:t>
      </w:r>
      <w:r w:rsidRPr="00AC4960">
        <w:rPr>
          <w:lang w:val="es-ES"/>
        </w:rPr>
        <w:t>, and Juan Lupiáñez</w:t>
      </w:r>
      <w:r w:rsidRPr="00AC4960">
        <w:rPr>
          <w:vertAlign w:val="superscript"/>
          <w:lang w:val="es-ES"/>
        </w:rPr>
        <w:t>1</w:t>
      </w:r>
    </w:p>
    <w:p w14:paraId="687167F3" w14:textId="77777777" w:rsidR="009E7B45" w:rsidRDefault="003E3E35">
      <w:pPr>
        <w:pStyle w:val="Author"/>
      </w:pPr>
      <w:r>
        <w:rPr>
          <w:vertAlign w:val="superscript"/>
        </w:rPr>
        <w:t>1</w:t>
      </w:r>
      <w:r>
        <w:t>Department of Experimental Psychology and Mind, Brain, and Behavior Research Center (CIMCYC), University of Granada, Granada, Spain</w:t>
      </w:r>
    </w:p>
    <w:p w14:paraId="687167F4" w14:textId="77777777" w:rsidR="009E7B45" w:rsidRDefault="003E3E35">
      <w:pPr>
        <w:pStyle w:val="Author"/>
      </w:pPr>
      <w:r>
        <w:rPr>
          <w:vertAlign w:val="superscript"/>
        </w:rPr>
        <w:t>2</w:t>
      </w:r>
      <w:r>
        <w:t>Department of Basic Psychology, Autonomous University of Madrid, Madrid, Spain</w:t>
      </w:r>
    </w:p>
    <w:p w14:paraId="687167F5" w14:textId="77777777" w:rsidR="009E7B45" w:rsidRDefault="003E3E35">
      <w:pPr>
        <w:pStyle w:val="Author"/>
      </w:pPr>
      <w:r>
        <w:rPr>
          <w:vertAlign w:val="superscript"/>
        </w:rPr>
        <w:t>3</w:t>
      </w:r>
      <w:r>
        <w:t>Institute Brain and Behavior Amsterdam, Department of Experimental and Applied Psychology, Vrije Universiteit Amsterdam, Amsterdam, the Netherlands</w:t>
      </w:r>
    </w:p>
    <w:p w14:paraId="687167F6" w14:textId="77777777" w:rsidR="009E7B45" w:rsidRDefault="003E3E35">
      <w:pPr>
        <w:pStyle w:val="Author"/>
      </w:pPr>
      <w:r>
        <w:rPr>
          <w:vertAlign w:val="superscript"/>
        </w:rPr>
        <w:t>4</w:t>
      </w:r>
      <w:r>
        <w:t>William James Center for Research, ISPA-Instituto Universitario, Lisbon, Portugal</w:t>
      </w:r>
    </w:p>
    <w:p w14:paraId="687167F7" w14:textId="77777777" w:rsidR="009E7B45" w:rsidRDefault="003E3E35">
      <w:pPr>
        <w:pStyle w:val="Author"/>
      </w:pPr>
      <w:r>
        <w:rPr>
          <w:vertAlign w:val="superscript"/>
        </w:rPr>
        <w:t>5</w:t>
      </w:r>
      <w:r>
        <w:t>Faculty of Social and Behavioral Sciences, Experimental Psychology, Helmholtz Institute, Utrecht University, Utrecht, the Netherlands</w:t>
      </w:r>
    </w:p>
    <w:p w14:paraId="687167F8" w14:textId="77777777" w:rsidR="009E7B45" w:rsidRDefault="003E3E35">
      <w:pPr>
        <w:pStyle w:val="Textoindependiente"/>
      </w:pPr>
      <w:r>
        <w:t xml:space="preserve"> </w:t>
      </w:r>
    </w:p>
    <w:p w14:paraId="687167F9" w14:textId="77777777" w:rsidR="009E7B45" w:rsidRDefault="003E3E35">
      <w:pPr>
        <w:pStyle w:val="Textoindependiente"/>
      </w:pPr>
      <w:r>
        <w:t xml:space="preserve"> </w:t>
      </w:r>
    </w:p>
    <w:p w14:paraId="687167FA" w14:textId="77777777" w:rsidR="009E7B45" w:rsidRPr="00AC4960" w:rsidRDefault="003E3E35">
      <w:pPr>
        <w:pStyle w:val="Ttulo1"/>
        <w:rPr>
          <w:lang w:val="es-ES"/>
        </w:rPr>
      </w:pPr>
      <w:bookmarkStart w:id="1" w:name="author-note"/>
      <w:bookmarkEnd w:id="0"/>
      <w:r w:rsidRPr="00AC4960">
        <w:rPr>
          <w:lang w:val="es-ES"/>
        </w:rPr>
        <w:t>Author Note</w:t>
      </w:r>
    </w:p>
    <w:p w14:paraId="687167FB" w14:textId="77777777" w:rsidR="009E7B45" w:rsidRPr="00AC4960" w:rsidRDefault="003E3E35">
      <w:pPr>
        <w:pStyle w:val="FirstParagraph"/>
        <w:rPr>
          <w:lang w:val="es-ES"/>
        </w:rPr>
      </w:pPr>
      <w:r w:rsidRPr="00AC4960">
        <w:rPr>
          <w:lang w:val="es-ES"/>
        </w:rPr>
        <w:t xml:space="preserve">Francisco Garre-Frutos </w:t>
      </w:r>
      <w:r>
        <w:rPr>
          <w:noProof/>
        </w:rPr>
        <w:drawing>
          <wp:inline distT="0" distB="0" distL="0" distR="0" wp14:anchorId="68716887" wp14:editId="68716888">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rsidRPr="00AC4960">
        <w:rPr>
          <w:lang w:val="es-ES"/>
        </w:rPr>
        <w:t xml:space="preserve"> </w:t>
      </w:r>
      <w:hyperlink r:id="rId10">
        <w:r w:rsidRPr="00AC4960">
          <w:rPr>
            <w:rStyle w:val="Hipervnculo"/>
            <w:lang w:val="es-ES"/>
          </w:rPr>
          <w:t>https://orcid.org/0000-0001-5052-066X</w:t>
        </w:r>
      </w:hyperlink>
    </w:p>
    <w:p w14:paraId="687167FC" w14:textId="77777777" w:rsidR="009E7B45" w:rsidRPr="00AC4960" w:rsidRDefault="003E3E35">
      <w:pPr>
        <w:pStyle w:val="Textoindependiente"/>
        <w:rPr>
          <w:lang w:val="es-ES"/>
        </w:rPr>
      </w:pPr>
      <w:r w:rsidRPr="00AC4960">
        <w:rPr>
          <w:lang w:val="es-ES"/>
        </w:rPr>
        <w:t xml:space="preserve">Miguel A. Vadillo </w:t>
      </w:r>
      <w:r>
        <w:rPr>
          <w:noProof/>
        </w:rPr>
        <w:drawing>
          <wp:inline distT="0" distB="0" distL="0" distR="0" wp14:anchorId="68716889" wp14:editId="6871688A">
            <wp:extent cx="152279" cy="152279"/>
            <wp:effectExtent l="0" t="0" r="0" b="0"/>
            <wp:docPr id="26"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7"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rsidRPr="00AC4960">
        <w:rPr>
          <w:lang w:val="es-ES"/>
        </w:rPr>
        <w:t xml:space="preserve"> </w:t>
      </w:r>
      <w:hyperlink r:id="rId11">
        <w:r w:rsidRPr="00AC4960">
          <w:rPr>
            <w:rStyle w:val="Hipervnculo"/>
            <w:lang w:val="es-ES"/>
          </w:rPr>
          <w:t>https://orcid.org/0000-0001-8421-816X</w:t>
        </w:r>
      </w:hyperlink>
    </w:p>
    <w:p w14:paraId="687167FD" w14:textId="77777777" w:rsidR="009E7B45" w:rsidRPr="00570827" w:rsidRDefault="003E3E35">
      <w:pPr>
        <w:pStyle w:val="Textoindependiente"/>
        <w:rPr>
          <w:lang w:val="en-US"/>
        </w:rPr>
      </w:pPr>
      <w:r w:rsidRPr="00570827">
        <w:rPr>
          <w:lang w:val="en-US"/>
        </w:rPr>
        <w:t xml:space="preserve">Jan </w:t>
      </w:r>
      <w:proofErr w:type="spellStart"/>
      <w:r w:rsidRPr="00570827">
        <w:rPr>
          <w:lang w:val="en-US"/>
        </w:rPr>
        <w:t>Theeuwes</w:t>
      </w:r>
      <w:proofErr w:type="spellEnd"/>
      <w:r w:rsidRPr="00570827">
        <w:rPr>
          <w:lang w:val="en-US"/>
        </w:rPr>
        <w:t xml:space="preserve"> </w:t>
      </w:r>
      <w:r>
        <w:rPr>
          <w:noProof/>
        </w:rPr>
        <w:drawing>
          <wp:inline distT="0" distB="0" distL="0" distR="0" wp14:anchorId="6871688B" wp14:editId="6871688C">
            <wp:extent cx="152279" cy="152279"/>
            <wp:effectExtent l="0" t="0" r="0" b="0"/>
            <wp:docPr id="30"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1"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rsidRPr="00570827">
        <w:rPr>
          <w:lang w:val="en-US"/>
        </w:rPr>
        <w:t xml:space="preserve"> </w:t>
      </w:r>
      <w:hyperlink r:id="rId12">
        <w:r w:rsidRPr="00570827">
          <w:rPr>
            <w:rStyle w:val="Hipervnculo"/>
            <w:lang w:val="en-US"/>
          </w:rPr>
          <w:t>https://orcid.org/0000-0002-5849-7721</w:t>
        </w:r>
      </w:hyperlink>
    </w:p>
    <w:p w14:paraId="687167FE" w14:textId="77777777" w:rsidR="009E7B45" w:rsidRPr="00AC4960" w:rsidRDefault="003E3E35">
      <w:pPr>
        <w:pStyle w:val="Textoindependiente"/>
        <w:rPr>
          <w:lang w:val="es-ES"/>
        </w:rPr>
      </w:pPr>
      <w:proofErr w:type="spellStart"/>
      <w:r w:rsidRPr="00AC4960">
        <w:rPr>
          <w:lang w:val="es-ES"/>
        </w:rPr>
        <w:t>Dirk</w:t>
      </w:r>
      <w:proofErr w:type="spellEnd"/>
      <w:r w:rsidRPr="00AC4960">
        <w:rPr>
          <w:lang w:val="es-ES"/>
        </w:rPr>
        <w:t xml:space="preserve"> Van </w:t>
      </w:r>
      <w:proofErr w:type="spellStart"/>
      <w:r w:rsidRPr="00AC4960">
        <w:rPr>
          <w:lang w:val="es-ES"/>
        </w:rPr>
        <w:t>Moorselaar</w:t>
      </w:r>
      <w:proofErr w:type="spellEnd"/>
      <w:r w:rsidRPr="00AC4960">
        <w:rPr>
          <w:lang w:val="es-ES"/>
        </w:rPr>
        <w:t xml:space="preserve"> </w:t>
      </w:r>
      <w:r>
        <w:rPr>
          <w:noProof/>
        </w:rPr>
        <w:drawing>
          <wp:inline distT="0" distB="0" distL="0" distR="0" wp14:anchorId="6871688D" wp14:editId="6871688E">
            <wp:extent cx="152279" cy="152279"/>
            <wp:effectExtent l="0" t="0" r="0" b="0"/>
            <wp:docPr id="34"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5"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rsidRPr="00AC4960">
        <w:rPr>
          <w:lang w:val="es-ES"/>
        </w:rPr>
        <w:t xml:space="preserve"> </w:t>
      </w:r>
      <w:hyperlink r:id="rId13">
        <w:r w:rsidRPr="00AC4960">
          <w:rPr>
            <w:rStyle w:val="Hipervnculo"/>
            <w:lang w:val="es-ES"/>
          </w:rPr>
          <w:t>https://orcid.org/0000-0002-0491-1317</w:t>
        </w:r>
      </w:hyperlink>
    </w:p>
    <w:p w14:paraId="687167FF" w14:textId="77777777" w:rsidR="009E7B45" w:rsidRPr="00AC4960" w:rsidRDefault="003E3E35">
      <w:pPr>
        <w:pStyle w:val="Textoindependiente"/>
        <w:rPr>
          <w:lang w:val="es-ES"/>
        </w:rPr>
      </w:pPr>
      <w:r w:rsidRPr="00AC4960">
        <w:rPr>
          <w:lang w:val="es-ES"/>
        </w:rPr>
        <w:t xml:space="preserve">Juan Lupiáñez </w:t>
      </w:r>
      <w:bookmarkStart w:id="2" w:name="orchid"/>
      <w:r>
        <w:rPr>
          <w:noProof/>
        </w:rPr>
        <w:drawing>
          <wp:inline distT="0" distB="0" distL="0" distR="0" wp14:anchorId="6871688F" wp14:editId="68716890">
            <wp:extent cx="152279" cy="152279"/>
            <wp:effectExtent l="0" t="0" r="0" b="0"/>
            <wp:docPr id="3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9"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rsidRPr="00AC4960">
        <w:rPr>
          <w:lang w:val="es-ES"/>
        </w:rPr>
        <w:t xml:space="preserve"> </w:t>
      </w:r>
      <w:hyperlink r:id="rId14">
        <w:r w:rsidRPr="00AC4960">
          <w:rPr>
            <w:rStyle w:val="Hipervnculo"/>
            <w:lang w:val="es-ES"/>
          </w:rPr>
          <w:t>https://orcid.org/0000-0001-6157-9894</w:t>
        </w:r>
      </w:hyperlink>
    </w:p>
    <w:p w14:paraId="68716800" w14:textId="6503CC68" w:rsidR="009E7B45" w:rsidRDefault="003E3E35">
      <w:pPr>
        <w:pStyle w:val="Textoindependiente"/>
      </w:pPr>
      <w:r>
        <w:t>Hypothesis, design</w:t>
      </w:r>
      <w:r w:rsidR="0082634B">
        <w:t>,</w:t>
      </w:r>
      <w:r>
        <w:t xml:space="preserve"> and data analysis for the present study were preregistered before data collection at </w:t>
      </w:r>
      <w:hyperlink r:id="rId15">
        <w:r>
          <w:rPr>
            <w:rStyle w:val="Hipervnculo"/>
          </w:rPr>
          <w:t>https://osf.io/f3bm8</w:t>
        </w:r>
      </w:hyperlink>
      <w:r>
        <w:t xml:space="preserve"> and </w:t>
      </w:r>
      <w:hyperlink r:id="rId16">
        <w:r>
          <w:rPr>
            <w:rStyle w:val="Hipervnculo"/>
          </w:rPr>
          <w:t>https://osf.io/f3bm8</w:t>
        </w:r>
      </w:hyperlink>
      <w:r>
        <w:t xml:space="preserve">. All data and analysis scripts are </w:t>
      </w:r>
      <w:r w:rsidR="0082634B">
        <w:t>available</w:t>
      </w:r>
      <w:r>
        <w:t xml:space="preserve"> at: </w:t>
      </w:r>
      <w:hyperlink r:id="rId17">
        <w:r w:rsidR="0082634B">
          <w:rPr>
            <w:rStyle w:val="Hipervnculo"/>
          </w:rPr>
          <w:t>https://osf.io/ezcrn.</w:t>
        </w:r>
      </w:hyperlink>
      <w:r>
        <w:t xml:space="preserve"> The authors have no conflicts of interest to disclose. This study was supported by the Ministerio de Ciencia, Innovación y Universidades: Grants PID2023-</w:t>
      </w:r>
      <w:r>
        <w:lastRenderedPageBreak/>
        <w:t>148421NB-I00 and PID2023-150830NB-I00, funded by MICIU/AEI/10.13039/501100011033 and FEDER, UE; CEX2023-001312-M funded by MICIU/AEI/10.13039/501100011033 and UCE-PP2023-11 funded by the University of Granada and an FPU predoctoral fellowship (ref. FPU20/00826) to FGF. JT was supported by a European Research Council (ERC) advanced grant [833029 - LEARNATTEND] and a grant from the Nederlandse Organisatie voor Wetenschappelijk Onderzoek (NWO) SSH Open Competition Behaviour and Education grant [406.21.GO.034]. This study is part of the FGF PhD thesis under the supervision of MV and JL.</w:t>
      </w:r>
      <w:r w:rsidR="0050202C">
        <w:t xml:space="preserve"> </w:t>
      </w:r>
      <w:r w:rsidR="0050202C" w:rsidRPr="001C3A9E">
        <w:rPr>
          <w:color w:val="EE0000"/>
        </w:rPr>
        <w:t>The study was approved by the Ethics Committee at the University of Granada (2442/CEIH/2021) and adhered to the Declaration of Helsinki</w:t>
      </w:r>
      <w:r w:rsidR="0050202C">
        <w:t>.</w:t>
      </w:r>
    </w:p>
    <w:p w14:paraId="68716801" w14:textId="77777777" w:rsidR="009E7B45" w:rsidRDefault="003E3E35">
      <w:pPr>
        <w:pStyle w:val="Textoindependiente"/>
      </w:pPr>
      <w:r>
        <w:t xml:space="preserve">Author roles were classified using the Contributor Role Taxonomy (CRediT; </w:t>
      </w:r>
      <w:hyperlink r:id="rId18">
        <w:r>
          <w:rPr>
            <w:rStyle w:val="Hipervnculo"/>
          </w:rPr>
          <w:t>credit.niso.org</w:t>
        </w:r>
      </w:hyperlink>
      <w:r>
        <w:t xml:space="preserve">) as follows: </w:t>
      </w:r>
      <w:r>
        <w:rPr>
          <w:i/>
          <w:iCs/>
        </w:rPr>
        <w:t>Francisco Garre-Frutos</w:t>
      </w:r>
      <w:r>
        <w:rPr>
          <w:b/>
          <w:bCs/>
        </w:rPr>
        <w:t xml:space="preserve">: </w:t>
      </w:r>
      <w:r>
        <w:t xml:space="preserve">conceptualization, data curation, formal analysis, investigation, methodology, resources, validation, software, visualization, writing – original draft, and writing - review &amp; editing. </w:t>
      </w:r>
      <w:r>
        <w:rPr>
          <w:i/>
          <w:iCs/>
        </w:rPr>
        <w:t>Miguel A. Vadillo</w:t>
      </w:r>
      <w:r>
        <w:rPr>
          <w:b/>
          <w:bCs/>
        </w:rPr>
        <w:t xml:space="preserve">: </w:t>
      </w:r>
      <w:r>
        <w:t xml:space="preserve">conceptualization, funding acquisition, project administration, supervision, and writing - review &amp; editing. </w:t>
      </w:r>
      <w:r>
        <w:rPr>
          <w:i/>
          <w:iCs/>
        </w:rPr>
        <w:t>Jan Theeuwes</w:t>
      </w:r>
      <w:r>
        <w:rPr>
          <w:b/>
          <w:bCs/>
        </w:rPr>
        <w:t xml:space="preserve">: </w:t>
      </w:r>
      <w:r>
        <w:t xml:space="preserve">conceptualization, funding acquisition, project administration, supervision, and writing - review &amp; editing. </w:t>
      </w:r>
      <w:r>
        <w:rPr>
          <w:i/>
          <w:iCs/>
        </w:rPr>
        <w:t>Dirk Van Moorselaar</w:t>
      </w:r>
      <w:r>
        <w:rPr>
          <w:b/>
          <w:bCs/>
        </w:rPr>
        <w:t xml:space="preserve">: </w:t>
      </w:r>
      <w:r>
        <w:t xml:space="preserve">conceptualization, funding acquisition, supervision, and writing - review &amp; editing. </w:t>
      </w:r>
      <w:r>
        <w:rPr>
          <w:i/>
          <w:iCs/>
        </w:rPr>
        <w:t>Juan Lupiáñez</w:t>
      </w:r>
      <w:r>
        <w:rPr>
          <w:b/>
          <w:bCs/>
        </w:rPr>
        <w:t xml:space="preserve">: </w:t>
      </w:r>
      <w:r>
        <w:t>conceptualization, funding acquisition, project administration, supervision, and Writing - review &amp; editing</w:t>
      </w:r>
    </w:p>
    <w:p w14:paraId="68716802" w14:textId="77777777" w:rsidR="009E7B45" w:rsidRDefault="003E3E35">
      <w:pPr>
        <w:pStyle w:val="Textoindependiente"/>
      </w:pPr>
      <w:r>
        <w:t xml:space="preserve">Correspondence concerning this article should be addressed to Francisco Garre-Frutos, Department of Experimental Psychology and Mind, Brain, and Behavior Research Center (CIMCYC), University of Granada, Granada, Spain, Email: </w:t>
      </w:r>
      <w:hyperlink r:id="rId19">
        <w:r>
          <w:rPr>
            <w:rStyle w:val="Hipervnculo"/>
          </w:rPr>
          <w:t>fgfrutos@ugr.es</w:t>
        </w:r>
      </w:hyperlink>
    </w:p>
    <w:p w14:paraId="68716803" w14:textId="77777777" w:rsidR="009E7B45" w:rsidRDefault="003E3E35">
      <w:r>
        <w:br w:type="page"/>
      </w:r>
    </w:p>
    <w:p w14:paraId="68716804" w14:textId="77777777" w:rsidR="009E7B45" w:rsidRDefault="003E3E35">
      <w:pPr>
        <w:pStyle w:val="Ttulo1"/>
      </w:pPr>
      <w:bookmarkStart w:id="3" w:name="abstract"/>
      <w:bookmarkEnd w:id="1"/>
      <w:r>
        <w:lastRenderedPageBreak/>
        <w:t>Abstract</w:t>
      </w:r>
    </w:p>
    <w:p w14:paraId="68716805" w14:textId="014010B3" w:rsidR="009E7B45" w:rsidRDefault="003E3E35">
      <w:pPr>
        <w:pStyle w:val="AbstractFirstParagraph"/>
      </w:pPr>
      <w:r>
        <w:t xml:space="preserve">Stimuli that reliably predict reward can </w:t>
      </w:r>
      <w:r w:rsidR="00B1524F" w:rsidRPr="00DD6373">
        <w:rPr>
          <w:color w:val="EE0000"/>
        </w:rPr>
        <w:t>increase</w:t>
      </w:r>
      <w:r w:rsidR="001C3A9E">
        <w:rPr>
          <w:color w:val="EE0000"/>
        </w:rPr>
        <w:t xml:space="preserve"> their capacity</w:t>
      </w:r>
      <w:r w:rsidR="00B1524F" w:rsidRPr="00DD6373">
        <w:rPr>
          <w:color w:val="EE0000"/>
        </w:rPr>
        <w:t xml:space="preserve"> </w:t>
      </w:r>
      <w:r w:rsidR="001C3A9E">
        <w:rPr>
          <w:color w:val="EE0000"/>
        </w:rPr>
        <w:t xml:space="preserve">to </w:t>
      </w:r>
      <w:r>
        <w:t xml:space="preserve">capture attention. </w:t>
      </w:r>
      <w:r w:rsidR="00B1524F" w:rsidRPr="00DD6373">
        <w:rPr>
          <w:color w:val="EE0000"/>
        </w:rPr>
        <w:t xml:space="preserve">This </w:t>
      </w:r>
      <w:r w:rsidR="00A852F0">
        <w:rPr>
          <w:color w:val="EE0000"/>
        </w:rPr>
        <w:t>V</w:t>
      </w:r>
      <w:r>
        <w:t>alue‑Modulated Attentional Capture (VMAC) is typically viewed as independent of task goals or physical salience, arising from Pavlovian learning. However, recent evidence suggests that the awareness of the stimulus‑reward contingency may be necessary during the acquisition of such attentional biases, although the underlying mechanism remains unclear. One possibility is that awareness mediates the learning process of VMAC by directing selective</w:t>
      </w:r>
      <w:r w:rsidR="00112984">
        <w:t xml:space="preserve"> </w:t>
      </w:r>
      <w:r>
        <w:t xml:space="preserve">attention toward </w:t>
      </w:r>
      <w:r w:rsidR="00112984">
        <w:t>the reward-</w:t>
      </w:r>
      <w:r>
        <w:t xml:space="preserve">predictive feature. The present preregistered study tested whether reward‑related attentional biases arise primarily from such selective attention, independently of awareness. Participants performed a visual search task in which one of two singleton distractors—one predicting high reward, the other low reward—appeared on a subset of trials. Selective attention to the reward‑predictive feature (distractor color) was manipulated between groups: In some trials, one group reported the distractor’s color, while the other group reported an irrelevant feature (its location). Otherwise, the stimulus–reward contingencies remained identical for both groups. VMAC, as measured by slower response times for the high‑value compared to the low‑value distractor, emerged only in the group that reported the color. Critically, the previous result cannot be explained by individual differences in awareness. These findings demonstrate a causal role of selective attention in the acquisition of reward-related attentional biases. </w:t>
      </w:r>
    </w:p>
    <w:p w14:paraId="0A7B0C59" w14:textId="77777777" w:rsidR="0070145A" w:rsidRDefault="0070145A" w:rsidP="0070145A">
      <w:pPr>
        <w:pStyle w:val="Textoindependiente"/>
      </w:pPr>
      <w:r>
        <w:rPr>
          <w:i/>
          <w:iCs/>
        </w:rPr>
        <w:t>Keywords</w:t>
      </w:r>
      <w:r>
        <w:t>: attentional capture, learning, reward, selective attention, awareness</w:t>
      </w:r>
    </w:p>
    <w:p w14:paraId="092FD13F" w14:textId="77777777" w:rsidR="0070145A" w:rsidRDefault="0070145A">
      <w:pPr>
        <w:pStyle w:val="AbstractFirstParagraph"/>
      </w:pPr>
    </w:p>
    <w:p w14:paraId="4FF98BD4" w14:textId="77777777" w:rsidR="0070145A" w:rsidRDefault="0070145A">
      <w:pPr>
        <w:pStyle w:val="AbstractFirstParagraph"/>
      </w:pPr>
    </w:p>
    <w:p w14:paraId="29F6BD63" w14:textId="77777777" w:rsidR="0070145A" w:rsidRDefault="0070145A">
      <w:pPr>
        <w:pStyle w:val="AbstractFirstParagraph"/>
      </w:pPr>
    </w:p>
    <w:p w14:paraId="43180649" w14:textId="77777777" w:rsidR="0070145A" w:rsidRDefault="0070145A">
      <w:pPr>
        <w:pStyle w:val="AbstractFirstParagraph"/>
      </w:pPr>
    </w:p>
    <w:p w14:paraId="68716806" w14:textId="77777777" w:rsidR="009E7B45" w:rsidRDefault="003E3E35">
      <w:pPr>
        <w:pStyle w:val="Ttulo1"/>
      </w:pPr>
      <w:bookmarkStart w:id="4" w:name="impact"/>
      <w:bookmarkEnd w:id="3"/>
      <w:r>
        <w:lastRenderedPageBreak/>
        <w:t>Public Significance Statement</w:t>
      </w:r>
    </w:p>
    <w:p w14:paraId="68716807" w14:textId="77777777" w:rsidR="009E7B45" w:rsidRDefault="003E3E35">
      <w:pPr>
        <w:pStyle w:val="AbstractFirstParagraph"/>
      </w:pPr>
      <w:r>
        <w:t>Whether Pavlovian associations can guide attention without awareness of the specific statistical contingency remains an outstanding issue, critical for understanding not only how learning impacts attention in general, but also how such attentional biases operate in certain psychopathological conditions, such as addiction. Although most research shows the apparent automaticity of VMAC once learning is established, recent studies highlight that awareness of statistical contingencies is associated with the learning process of VMAC. In this study, we show that a manipulation of selective attention toward a feature associated with reward modulates its learning, independently of awareness. Our findings expand the boundary conditions under which a stimulus associated with reward can bias attention automatically, with broader implications for theories of learning and attentional control.</w:t>
      </w:r>
    </w:p>
    <w:p w14:paraId="34DC1F04" w14:textId="77777777" w:rsidR="001C3A9E" w:rsidRDefault="001C3A9E">
      <w:pPr>
        <w:pStyle w:val="AbstractFirstParagraph"/>
      </w:pPr>
    </w:p>
    <w:p w14:paraId="6D65C43A" w14:textId="77777777" w:rsidR="001C3A9E" w:rsidRDefault="001C3A9E">
      <w:pPr>
        <w:pStyle w:val="AbstractFirstParagraph"/>
      </w:pPr>
    </w:p>
    <w:p w14:paraId="4B3039E0" w14:textId="77777777" w:rsidR="00DD6373" w:rsidRDefault="00DD6373">
      <w:pPr>
        <w:pStyle w:val="AbstractFirstParagraph"/>
      </w:pPr>
    </w:p>
    <w:p w14:paraId="06758A4C" w14:textId="77777777" w:rsidR="00DD6373" w:rsidRDefault="00DD6373">
      <w:pPr>
        <w:pStyle w:val="AbstractFirstParagraph"/>
      </w:pPr>
    </w:p>
    <w:p w14:paraId="56124AE7" w14:textId="77777777" w:rsidR="00DD6373" w:rsidRDefault="00DD6373">
      <w:pPr>
        <w:pStyle w:val="AbstractFirstParagraph"/>
      </w:pPr>
    </w:p>
    <w:p w14:paraId="61122D98" w14:textId="77777777" w:rsidR="00DD6373" w:rsidRDefault="00DD6373">
      <w:pPr>
        <w:pStyle w:val="AbstractFirstParagraph"/>
      </w:pPr>
    </w:p>
    <w:p w14:paraId="7AC030F0" w14:textId="77777777" w:rsidR="00DD6373" w:rsidRDefault="00DD6373">
      <w:pPr>
        <w:pStyle w:val="AbstractFirstParagraph"/>
      </w:pPr>
    </w:p>
    <w:p w14:paraId="04561BCD" w14:textId="77777777" w:rsidR="001C3A9E" w:rsidRDefault="001C3A9E">
      <w:pPr>
        <w:pStyle w:val="AbstractFirstParagraph"/>
      </w:pPr>
    </w:p>
    <w:p w14:paraId="72F12050" w14:textId="77777777" w:rsidR="001C3A9E" w:rsidRDefault="001C3A9E">
      <w:pPr>
        <w:pStyle w:val="AbstractFirstParagraph"/>
      </w:pPr>
    </w:p>
    <w:p w14:paraId="71CB4C85" w14:textId="77777777" w:rsidR="001C3A9E" w:rsidRDefault="001C3A9E"/>
    <w:p w14:paraId="6871680A" w14:textId="77777777" w:rsidR="009E7B45" w:rsidRDefault="003E3E35">
      <w:pPr>
        <w:pStyle w:val="Ttulo1"/>
      </w:pPr>
      <w:bookmarkStart w:id="5" w:name="firstheader"/>
      <w:bookmarkEnd w:id="4"/>
      <w:r>
        <w:lastRenderedPageBreak/>
        <w:t>The Role of Selective Attention in Value-Modulated Attentional Capture</w:t>
      </w:r>
    </w:p>
    <w:p w14:paraId="6871680B" w14:textId="77777777" w:rsidR="009E7B45" w:rsidRDefault="003E3E35">
      <w:pPr>
        <w:pStyle w:val="FirstParagraph"/>
      </w:pPr>
      <w:r>
        <w:t>When individuals learn to associate a specific stimulus feature with reward, this stimulus often becomes a stronger distractor in visual search tasks (</w:t>
      </w:r>
      <w:hyperlink w:anchor="ref-anderson2021">
        <w:r>
          <w:rPr>
            <w:rStyle w:val="Hipervnculo"/>
          </w:rPr>
          <w:t>Anderson et al., 2021</w:t>
        </w:r>
      </w:hyperlink>
      <w:r>
        <w:t xml:space="preserve">; </w:t>
      </w:r>
      <w:hyperlink w:anchor="ref-failing2018">
        <w:r>
          <w:rPr>
            <w:rStyle w:val="Hipervnculo"/>
          </w:rPr>
          <w:t>Failing &amp; Theeuwes, 2018</w:t>
        </w:r>
      </w:hyperlink>
      <w:r>
        <w:t>). The weight of evidence suggests that the learning process underlying this phenomenon is Pavlovian in nature and thus depends on the history of stimulus-reward pairings (</w:t>
      </w:r>
      <w:hyperlink w:anchor="ref-lepelley2016">
        <w:r>
          <w:rPr>
            <w:rStyle w:val="Hipervnculo"/>
          </w:rPr>
          <w:t>Le Pelley et al., 2016</w:t>
        </w:r>
      </w:hyperlink>
      <w:r>
        <w:t>). One of the clearest demonstrations of this Pavlovian account is provided by Le Pelley et al. (</w:t>
      </w:r>
      <w:hyperlink w:anchor="ref-lepelley2015">
        <w:r>
          <w:rPr>
            <w:rStyle w:val="Hipervnculo"/>
          </w:rPr>
          <w:t>2015</w:t>
        </w:r>
      </w:hyperlink>
      <w:r>
        <w:t>), who used a modified version of the additional singleton task (</w:t>
      </w:r>
      <w:hyperlink w:anchor="ref-theeuwes1992">
        <w:r>
          <w:rPr>
            <w:rStyle w:val="Hipervnculo"/>
          </w:rPr>
          <w:t>Theeuwes, 1992</w:t>
        </w:r>
      </w:hyperlink>
      <w:r>
        <w:t xml:space="preserve">, </w:t>
      </w:r>
      <w:hyperlink w:anchor="ref-theeuwes1994">
        <w:r>
          <w:rPr>
            <w:rStyle w:val="Hipervnculo"/>
          </w:rPr>
          <w:t>1994</w:t>
        </w:r>
      </w:hyperlink>
      <w:r>
        <w:t>). In their study, participants searched for a target defined by one feature (shape) while a uniquely colored distractor was occasionally presented. Critically, rewards were contingent on the distractor’s color—one color predicted high reward, the other low reward. When the high-reward singleton appeared, participants showed increased response times (RTs) compared to trials with the low-reward singleton, an effect known as value-modulated attentional capture (VMAC).</w:t>
      </w:r>
    </w:p>
    <w:p w14:paraId="6871680C" w14:textId="02606593" w:rsidR="009E7B45" w:rsidRDefault="003E3E35">
      <w:pPr>
        <w:pStyle w:val="Textoindependiente"/>
      </w:pPr>
      <w:r>
        <w:t>Most of the evidence gathered so far suggests that once established, VMAC is automatic. For instance, in the study by Le Pelley et al. (</w:t>
      </w:r>
      <w:hyperlink w:anchor="ref-lepelley2015">
        <w:r>
          <w:rPr>
            <w:rStyle w:val="Hipervnculo"/>
          </w:rPr>
          <w:t>2015</w:t>
        </w:r>
      </w:hyperlink>
      <w:r>
        <w:t>), VMAC emerged even when the reward-predictive feature was task-irrelevant</w:t>
      </w:r>
      <w:r w:rsidR="00745CF2">
        <w:t>,</w:t>
      </w:r>
      <w:r>
        <w:t xml:space="preserve"> and also when attending to it resulted in obtaining less reward. This attentional capture has also been documented using oculomotor measures (</w:t>
      </w:r>
      <w:hyperlink w:anchor="ref-pearson2016">
        <w:r>
          <w:rPr>
            <w:rStyle w:val="Hipervnculo"/>
          </w:rPr>
          <w:t>Pearson et al., 2016</w:t>
        </w:r>
      </w:hyperlink>
      <w:r>
        <w:t xml:space="preserve">; </w:t>
      </w:r>
      <w:hyperlink w:anchor="ref-theeuwes2012">
        <w:r>
          <w:rPr>
            <w:rStyle w:val="Hipervnculo"/>
          </w:rPr>
          <w:t>Theeuwes &amp; Belopolsky, 2012</w:t>
        </w:r>
      </w:hyperlink>
      <w:r>
        <w:t xml:space="preserve">), where participants fixated more frequently on the high-value singleton even if it led to reward omission. </w:t>
      </w:r>
      <w:r w:rsidRPr="001B75BC">
        <w:rPr>
          <w:color w:val="EE0000"/>
        </w:rPr>
        <w:t>However, the role of awareness in the learning process of VMAC is controversial. While some studies suggest that stimulus-reward associations can be learned without awareness (</w:t>
      </w:r>
      <w:hyperlink w:anchor="ref-anderson2015">
        <w:r w:rsidRPr="00F47682">
          <w:rPr>
            <w:rStyle w:val="Hipervnculo"/>
            <w:color w:val="EE0000"/>
          </w:rPr>
          <w:t>Anderson, 2015</w:t>
        </w:r>
      </w:hyperlink>
      <w:r w:rsidRPr="00F47682">
        <w:rPr>
          <w:color w:val="EE0000"/>
        </w:rPr>
        <w:t xml:space="preserve">; </w:t>
      </w:r>
      <w:hyperlink w:anchor="ref-anderson2013">
        <w:r w:rsidRPr="00F47682">
          <w:rPr>
            <w:rStyle w:val="Hipervnculo"/>
            <w:color w:val="EE0000"/>
          </w:rPr>
          <w:t>Anderson &amp; Yantis, 2013</w:t>
        </w:r>
      </w:hyperlink>
      <w:r w:rsidRPr="00F47682">
        <w:rPr>
          <w:color w:val="EE0000"/>
        </w:rPr>
        <w:t xml:space="preserve">; </w:t>
      </w:r>
      <w:hyperlink w:anchor="ref-grégoire2019">
        <w:r w:rsidRPr="00F47682">
          <w:rPr>
            <w:rStyle w:val="Hipervnculo"/>
            <w:color w:val="EE0000"/>
          </w:rPr>
          <w:t>Grégoire &amp; Anderson, 2019</w:t>
        </w:r>
      </w:hyperlink>
      <w:r w:rsidRPr="00F47682">
        <w:rPr>
          <w:color w:val="EE0000"/>
        </w:rPr>
        <w:t xml:space="preserve">; </w:t>
      </w:r>
      <w:hyperlink w:anchor="ref-theeuwes2012">
        <w:r w:rsidRPr="00F47682">
          <w:rPr>
            <w:rStyle w:val="Hipervnculo"/>
            <w:color w:val="EE0000"/>
          </w:rPr>
          <w:t>Theeuwes &amp; Belopolsky, 2012</w:t>
        </w:r>
      </w:hyperlink>
      <w:r w:rsidRPr="00F47682">
        <w:rPr>
          <w:color w:val="EE0000"/>
        </w:rPr>
        <w:t>), other studies have found the opposite (</w:t>
      </w:r>
      <w:hyperlink w:anchor="ref-failing2017">
        <w:r w:rsidRPr="00F47682">
          <w:rPr>
            <w:rStyle w:val="Hipervnculo"/>
            <w:color w:val="EE0000"/>
          </w:rPr>
          <w:t>Failing &amp; Theeuwes, 2017</w:t>
        </w:r>
      </w:hyperlink>
      <w:r w:rsidRPr="00F47682">
        <w:rPr>
          <w:color w:val="EE0000"/>
        </w:rPr>
        <w:t xml:space="preserve">; </w:t>
      </w:r>
      <w:hyperlink w:anchor="ref-garre-frutos2025a">
        <w:r w:rsidRPr="00F47682">
          <w:rPr>
            <w:rStyle w:val="Hipervnculo"/>
            <w:color w:val="EE0000"/>
          </w:rPr>
          <w:t>Garre-Frutos, Lupiáñez, et al., 2025</w:t>
        </w:r>
      </w:hyperlink>
      <w:r w:rsidRPr="00F47682">
        <w:rPr>
          <w:color w:val="EE0000"/>
        </w:rPr>
        <w:t xml:space="preserve">; </w:t>
      </w:r>
      <w:hyperlink w:anchor="ref-lepelley2017">
        <w:r w:rsidRPr="00F47682">
          <w:rPr>
            <w:rStyle w:val="Hipervnculo"/>
            <w:color w:val="EE0000"/>
          </w:rPr>
          <w:t>Le Pelley et al., 2017</w:t>
        </w:r>
      </w:hyperlink>
      <w:r w:rsidRPr="00F47682">
        <w:rPr>
          <w:color w:val="EE0000"/>
        </w:rPr>
        <w:t xml:space="preserve">; </w:t>
      </w:r>
      <w:hyperlink w:anchor="ref-meyer2020">
        <w:r w:rsidRPr="00F47682">
          <w:rPr>
            <w:rStyle w:val="Hipervnculo"/>
            <w:color w:val="EE0000"/>
          </w:rPr>
          <w:t>Meyer et al., 2020</w:t>
        </w:r>
      </w:hyperlink>
      <w:r w:rsidRPr="00F47682">
        <w:rPr>
          <w:color w:val="EE0000"/>
        </w:rPr>
        <w:t>). Consistent with the latter, instructing participants about the feature-reward contingency appears to be one of the strongest moderators of the VMAC effect across studies (</w:t>
      </w:r>
      <w:hyperlink w:anchor="ref-garre-frutos2025a">
        <w:r w:rsidRPr="00F47682">
          <w:rPr>
            <w:rStyle w:val="Hipervnculo"/>
            <w:color w:val="EE0000"/>
          </w:rPr>
          <w:t>Garre-Frutos, Lupiáñez, et al., 2025</w:t>
        </w:r>
      </w:hyperlink>
      <w:r w:rsidRPr="001B75BC">
        <w:rPr>
          <w:color w:val="EE0000"/>
        </w:rPr>
        <w:t>).</w:t>
      </w:r>
      <w:r>
        <w:t xml:space="preserve"> Although these findings may appear contradictory, it is well-established that human Pavlovian learning is sensitive to the same manipulations (</w:t>
      </w:r>
      <w:hyperlink w:anchor="ref-lovibond2011">
        <w:r>
          <w:rPr>
            <w:rStyle w:val="Hipervnculo"/>
          </w:rPr>
          <w:t>Lovibond et al., 2011</w:t>
        </w:r>
      </w:hyperlink>
      <w:r>
        <w:t xml:space="preserve">; </w:t>
      </w:r>
      <w:hyperlink w:anchor="ref-lovibond2002">
        <w:r>
          <w:rPr>
            <w:rStyle w:val="Hipervnculo"/>
          </w:rPr>
          <w:t>Lovibond &amp; Shanks, 2002</w:t>
        </w:r>
      </w:hyperlink>
      <w:r>
        <w:t xml:space="preserve">; </w:t>
      </w:r>
      <w:hyperlink w:anchor="ref-mertens2016">
        <w:r>
          <w:rPr>
            <w:rStyle w:val="Hipervnculo"/>
          </w:rPr>
          <w:t>Mertens et al., 2016</w:t>
        </w:r>
      </w:hyperlink>
      <w:r>
        <w:t xml:space="preserve">; </w:t>
      </w:r>
      <w:hyperlink w:anchor="ref-mertens2020">
        <w:r>
          <w:rPr>
            <w:rStyle w:val="Hipervnculo"/>
          </w:rPr>
          <w:t>Mertens &amp; Engelhard, 2020</w:t>
        </w:r>
      </w:hyperlink>
      <w:r>
        <w:t xml:space="preserve">; </w:t>
      </w:r>
      <w:hyperlink w:anchor="ref-weidemann2016">
        <w:r>
          <w:rPr>
            <w:rStyle w:val="Hipervnculo"/>
          </w:rPr>
          <w:t>Weidemann et al., 2016</w:t>
        </w:r>
      </w:hyperlink>
      <w:r>
        <w:t>). Some theoretical models even propose that Pavlovian learning could be entirely propositional (</w:t>
      </w:r>
      <w:hyperlink w:anchor="ref-mitchell2009">
        <w:r>
          <w:rPr>
            <w:rStyle w:val="Hipervnculo"/>
          </w:rPr>
          <w:t>Mitchell et al., 2009</w:t>
        </w:r>
      </w:hyperlink>
      <w:r>
        <w:t>), making awareness a necessary condition for learning.</w:t>
      </w:r>
    </w:p>
    <w:p w14:paraId="6871680D" w14:textId="53C2AD94" w:rsidR="009E7B45" w:rsidRDefault="003E3E35">
      <w:pPr>
        <w:pStyle w:val="Textoindependiente"/>
      </w:pPr>
      <w:r>
        <w:t xml:space="preserve">An alternative and potentially more parsimonious explanation focuses on the role of selective attention toward reward-associated features. Research from other experimental paradigms suggests that implicit learning often depends on </w:t>
      </w:r>
      <w:r w:rsidRPr="009205B8">
        <w:rPr>
          <w:color w:val="EE0000"/>
        </w:rPr>
        <w:t>spatial</w:t>
      </w:r>
      <w:r>
        <w:t xml:space="preserve"> (</w:t>
      </w:r>
      <w:hyperlink w:anchor="ref-duncan2024">
        <w:r>
          <w:rPr>
            <w:rStyle w:val="Hipervnculo"/>
          </w:rPr>
          <w:t>Duncan et al., 2024</w:t>
        </w:r>
      </w:hyperlink>
      <w:r>
        <w:t xml:space="preserve">; </w:t>
      </w:r>
      <w:hyperlink w:anchor="ref-golan2024">
        <w:r>
          <w:rPr>
            <w:rStyle w:val="Hipervnculo"/>
          </w:rPr>
          <w:t>Golan et al., 2024</w:t>
        </w:r>
      </w:hyperlink>
      <w:r>
        <w:t xml:space="preserve">; </w:t>
      </w:r>
      <w:hyperlink w:anchor="ref-jiang2001">
        <w:r>
          <w:rPr>
            <w:rStyle w:val="Hipervnculo"/>
          </w:rPr>
          <w:t>Jiang &amp; Chun, 2001</w:t>
        </w:r>
      </w:hyperlink>
      <w:r>
        <w:t xml:space="preserve">; </w:t>
      </w:r>
      <w:hyperlink w:anchor="ref-vadillo2020">
        <w:r>
          <w:rPr>
            <w:rStyle w:val="Hipervnculo"/>
          </w:rPr>
          <w:t>Vadillo et al., 2020</w:t>
        </w:r>
      </w:hyperlink>
      <w:r>
        <w:t xml:space="preserve">; </w:t>
      </w:r>
      <w:hyperlink w:anchor="ref-vadillo2024">
        <w:r>
          <w:rPr>
            <w:rStyle w:val="Hipervnculo"/>
          </w:rPr>
          <w:t>Vadillo et al., 2024</w:t>
        </w:r>
      </w:hyperlink>
      <w:r>
        <w:t xml:space="preserve">) or </w:t>
      </w:r>
      <w:r w:rsidRPr="009205B8">
        <w:rPr>
          <w:color w:val="EE0000"/>
        </w:rPr>
        <w:t xml:space="preserve">feature-based </w:t>
      </w:r>
      <w:r>
        <w:t>(</w:t>
      </w:r>
      <w:hyperlink w:anchor="ref-jiménez1999">
        <w:r>
          <w:rPr>
            <w:rStyle w:val="Hipervnculo"/>
          </w:rPr>
          <w:t>Jiménez &amp; Méndez, 1999</w:t>
        </w:r>
      </w:hyperlink>
      <w:r>
        <w:t>) selective attention. In the paradigm used by Le Pelley et al. (</w:t>
      </w:r>
      <w:hyperlink w:anchor="ref-lepelley2015">
        <w:r>
          <w:rPr>
            <w:rStyle w:val="Hipervnculo"/>
          </w:rPr>
          <w:t>2015</w:t>
        </w:r>
      </w:hyperlink>
      <w:r>
        <w:t>), distractors in the additional singleton task capture attention (</w:t>
      </w:r>
      <w:hyperlink w:anchor="ref-theeuwes1992">
        <w:r>
          <w:rPr>
            <w:rStyle w:val="Hipervnculo"/>
          </w:rPr>
          <w:t>Theeuwes, 1992</w:t>
        </w:r>
      </w:hyperlink>
      <w:r>
        <w:t xml:space="preserve">, </w:t>
      </w:r>
      <w:hyperlink w:anchor="ref-theeuwes1994">
        <w:r>
          <w:rPr>
            <w:rStyle w:val="Hipervnculo"/>
          </w:rPr>
          <w:t>1994</w:t>
        </w:r>
      </w:hyperlink>
      <w:r>
        <w:t xml:space="preserve">). However, participants are never explicitly required to selectively attend to the reward-predictive feature, i.e., color, as it </w:t>
      </w:r>
      <w:r w:rsidR="00E822FC">
        <w:t xml:space="preserve">is </w:t>
      </w:r>
      <w:r>
        <w:t>never directly task-relevant. Instructions regarding stimulus-reward contingencies might direct participants’ attention specifically toward the reward-associated feature, potentially making selective attention both necessary and sufficient for learning. If selective attention is crucial, any manipulation compelling participants to attend to the reward-associated feature (color) rather than other features (e.g., location) should enhance VMAC, even if participants remain unaware of the exact contingencies.</w:t>
      </w:r>
    </w:p>
    <w:p w14:paraId="6871680E" w14:textId="77777777" w:rsidR="009E7B45" w:rsidRDefault="003E3E35">
      <w:pPr>
        <w:pStyle w:val="Ttulo2"/>
      </w:pPr>
      <w:bookmarkStart w:id="6" w:name="the-present-study"/>
      <w:r>
        <w:lastRenderedPageBreak/>
        <w:t>The Present Study</w:t>
      </w:r>
    </w:p>
    <w:p w14:paraId="6871680F" w14:textId="4762E329" w:rsidR="009E7B45" w:rsidRDefault="003E3E35">
      <w:pPr>
        <w:pStyle w:val="FirstParagraph"/>
      </w:pPr>
      <w:r>
        <w:t>The current preregistered study aimed to test the causal role of selective attention in the learning process underlying VMAC. We employed the general procedure from Garre-Frutos, Lupiáñez, et al. (</w:t>
      </w:r>
      <w:hyperlink w:anchor="ref-garre-frutos2025a">
        <w:r>
          <w:rPr>
            <w:rStyle w:val="Hipervnculo"/>
          </w:rPr>
          <w:t>2025</w:t>
        </w:r>
      </w:hyperlink>
      <w:r>
        <w:t>), but rather than manipulating instructions, we introduced a concurrent task designed to force selective attention toward distinct distractor dimensions. Specifically, we manipulated between participants whether they had to report the color or the location of the singleton distractor (</w:t>
      </w:r>
      <w:proofErr w:type="gramStart"/>
      <w:r w:rsidR="00112984" w:rsidRPr="00112984">
        <w:rPr>
          <w:color w:val="000000" w:themeColor="text1"/>
        </w:rPr>
        <w:t>similar to</w:t>
      </w:r>
      <w:proofErr w:type="gramEnd"/>
      <w:r w:rsidRPr="00112984">
        <w:rPr>
          <w:color w:val="000000" w:themeColor="text1"/>
        </w:rPr>
        <w:t xml:space="preserve"> </w:t>
      </w:r>
      <w:hyperlink w:anchor="ref-gao2020">
        <w:r>
          <w:rPr>
            <w:rStyle w:val="Hipervnculo"/>
          </w:rPr>
          <w:t xml:space="preserve">Gao &amp; </w:t>
        </w:r>
        <w:proofErr w:type="spellStart"/>
        <w:r>
          <w:rPr>
            <w:rStyle w:val="Hipervnculo"/>
          </w:rPr>
          <w:t>Theeuwes</w:t>
        </w:r>
        <w:proofErr w:type="spellEnd"/>
        <w:r>
          <w:rPr>
            <w:rStyle w:val="Hipervnculo"/>
          </w:rPr>
          <w:t>, 2020</w:t>
        </w:r>
      </w:hyperlink>
      <w:r>
        <w:t xml:space="preserve">). This design allowed us to specifically compare selective attention directed toward the irrelevant reward-associated feature (color) versus a completely irrelevant feature (location; independent of reward), without informing participants about the color-reward association (conceptually similar to </w:t>
      </w:r>
      <w:hyperlink w:anchor="ref-jiménez1999">
        <w:r>
          <w:rPr>
            <w:rStyle w:val="Hipervnculo"/>
          </w:rPr>
          <w:t>Jiménez &amp; Méndez, 1999</w:t>
        </w:r>
      </w:hyperlink>
      <w:r>
        <w:t>).</w:t>
      </w:r>
    </w:p>
    <w:p w14:paraId="68716810" w14:textId="77777777" w:rsidR="009E7B45" w:rsidRDefault="003E3E35">
      <w:pPr>
        <w:pStyle w:val="Textoindependiente"/>
      </w:pPr>
      <w:r>
        <w:t>As preregistered, we hypothesized a dissociation in VMAC based on the type of concurrent task (color vs. location). Specifically, we predicted that only the group reporting color would show a VMAC effect. Furthermore, we expected that this effect would remain independent of individual differences in awareness. In other words, we expected that the difference between groups would not be accounted for by between-group differences in awareness or individual differences in the relationship between awareness and VMAC.</w:t>
      </w:r>
    </w:p>
    <w:p w14:paraId="68716811" w14:textId="77777777" w:rsidR="009E7B45" w:rsidRDefault="003E3E35">
      <w:pPr>
        <w:pStyle w:val="Ttulo1"/>
      </w:pPr>
      <w:bookmarkStart w:id="7" w:name="methods"/>
      <w:bookmarkEnd w:id="5"/>
      <w:bookmarkEnd w:id="6"/>
      <w:r>
        <w:t>Methods</w:t>
      </w:r>
    </w:p>
    <w:p w14:paraId="68716813" w14:textId="77777777" w:rsidR="009E7B45" w:rsidRDefault="003E3E35">
      <w:pPr>
        <w:pStyle w:val="Ttulo2"/>
      </w:pPr>
      <w:bookmarkStart w:id="8" w:name="transparency-and-openness"/>
      <w:r>
        <w:t>Transparency and openness</w:t>
      </w:r>
    </w:p>
    <w:p w14:paraId="68716814" w14:textId="14EE5601" w:rsidR="009E7B45" w:rsidRDefault="003E3E35" w:rsidP="00851062">
      <w:pPr>
        <w:pStyle w:val="FirstParagraph"/>
      </w:pPr>
      <w:r>
        <w:t xml:space="preserve">This experiment complies with the TOP guidelines. All materials, data, and scripts are publicly available at </w:t>
      </w:r>
      <w:hyperlink r:id="rId20">
        <w:r>
          <w:rPr>
            <w:rStyle w:val="Hipervnculo"/>
          </w:rPr>
          <w:t>https://osf.io/eczrn</w:t>
        </w:r>
      </w:hyperlink>
      <w:r>
        <w:t>, and the methods and analyses were registered before data collection in December 2024</w:t>
      </w:r>
      <w:r w:rsidR="00491E82">
        <w:t xml:space="preserve"> (</w:t>
      </w:r>
      <w:hyperlink r:id="rId21">
        <w:r w:rsidR="00491E82">
          <w:rPr>
            <w:rStyle w:val="Hipervnculo"/>
          </w:rPr>
          <w:t>https://osf.io/f3bm8</w:t>
        </w:r>
      </w:hyperlink>
      <w:r w:rsidR="00491E82">
        <w:t>)</w:t>
      </w:r>
      <w:r w:rsidR="007322F1">
        <w:t xml:space="preserve">. </w:t>
      </w:r>
      <w:r>
        <w:t xml:space="preserve">Data were analyzed using R, version </w:t>
      </w:r>
      <w:r>
        <w:lastRenderedPageBreak/>
        <w:t>4.3.1 (</w:t>
      </w:r>
      <w:hyperlink w:anchor="ref-r_ref">
        <w:r>
          <w:rPr>
            <w:rStyle w:val="Hipervnculo"/>
          </w:rPr>
          <w:t>R Core Team, 2023</w:t>
        </w:r>
      </w:hyperlink>
      <w:r>
        <w:t>)</w:t>
      </w:r>
      <w:r>
        <w:rPr>
          <w:rStyle w:val="Refdenotaalpie"/>
        </w:rPr>
        <w:footnoteReference w:id="1"/>
      </w:r>
      <w:r>
        <w:t>. We report how we determined our sample size, data exclusions, manipulations, and measures in the study.</w:t>
      </w:r>
      <w:r w:rsidR="000257CB">
        <w:t xml:space="preserve"> </w:t>
      </w:r>
    </w:p>
    <w:p w14:paraId="68716815" w14:textId="77777777" w:rsidR="009E7B45" w:rsidRDefault="003E3E35">
      <w:pPr>
        <w:pStyle w:val="Ttulo2"/>
      </w:pPr>
      <w:bookmarkStart w:id="9" w:name="participants"/>
      <w:bookmarkEnd w:id="8"/>
      <w:r>
        <w:t>Participants</w:t>
      </w:r>
    </w:p>
    <w:p w14:paraId="68716816" w14:textId="3A0193B6" w:rsidR="009E7B45" w:rsidRDefault="003E3E35">
      <w:pPr>
        <w:pStyle w:val="FirstParagraph"/>
      </w:pPr>
      <w:r>
        <w:t xml:space="preserve">We performed a simulation-based power analysis (fully reported at </w:t>
      </w:r>
      <w:hyperlink r:id="rId22">
        <w:r>
          <w:rPr>
            <w:rStyle w:val="Hipervnculo"/>
          </w:rPr>
          <w:t>https://osf.io/f3bm8</w:t>
        </w:r>
      </w:hyperlink>
      <w:r>
        <w:t>) for the critical Group (color vs. location) × Distractor (high- vs. low-value) interaction, based on a similar effect from the linear mixed model (LMM) in Garre-Frutos, Lupiáñez, et al. (</w:t>
      </w:r>
      <w:hyperlink w:anchor="ref-garre-frutos2025a">
        <w:r>
          <w:rPr>
            <w:rStyle w:val="Hipervnculo"/>
          </w:rPr>
          <w:t>2025</w:t>
        </w:r>
      </w:hyperlink>
      <w:r>
        <w:t xml:space="preserve">) (effect size: </w:t>
      </w:r>
      <m:oMath>
        <m:r>
          <w:rPr>
            <w:rFonts w:ascii="Cambria Math" w:hAnsi="Cambria Math"/>
          </w:rPr>
          <m:t>β</m:t>
        </m:r>
        <m:r>
          <m:rPr>
            <m:sty m:val="p"/>
          </m:rPr>
          <w:rPr>
            <w:rFonts w:ascii="Cambria Math" w:hAnsi="Cambria Math"/>
          </w:rPr>
          <m:t>=</m:t>
        </m:r>
        <m:r>
          <w:rPr>
            <w:rFonts w:ascii="Cambria Math" w:hAnsi="Cambria Math"/>
          </w:rPr>
          <m:t>0.018</m:t>
        </m:r>
      </m:oMath>
      <w:r>
        <w:t>), excluding trials from the first 48 trials where VMAC is typically not observed (</w:t>
      </w:r>
      <w:hyperlink w:anchor="ref-garre-frutos2024">
        <w:r>
          <w:rPr>
            <w:rStyle w:val="Hipervnculo"/>
          </w:rPr>
          <w:t>Garre-Frutos et al., 2024</w:t>
        </w:r>
      </w:hyperlink>
      <w:r>
        <w:t xml:space="preserve">; </w:t>
      </w:r>
      <w:hyperlink w:anchor="ref-garre-frutos2025a">
        <w:r>
          <w:rPr>
            <w:rStyle w:val="Hipervnculo"/>
          </w:rPr>
          <w:t>Garre-Frutos, Lupiáñez, et al., 2025</w:t>
        </w:r>
      </w:hyperlink>
      <w:r>
        <w:t xml:space="preserve">). Power was estimated using R (version 4.3.1; </w:t>
      </w:r>
      <w:hyperlink w:anchor="ref-r_ref">
        <w:r>
          <w:rPr>
            <w:rStyle w:val="Hipervnculo"/>
          </w:rPr>
          <w:t>R Core Team, 2023</w:t>
        </w:r>
      </w:hyperlink>
      <w:r>
        <w:t xml:space="preserve">) and the </w:t>
      </w:r>
      <w:r>
        <w:rPr>
          <w:i/>
          <w:iCs/>
        </w:rPr>
        <w:t>simr</w:t>
      </w:r>
      <w:r>
        <w:t xml:space="preserve"> package (</w:t>
      </w:r>
      <w:hyperlink w:anchor="ref-simr">
        <w:r>
          <w:rPr>
            <w:rStyle w:val="Hipervnculo"/>
          </w:rPr>
          <w:t>Green &amp; MacLeod, 2016</w:t>
        </w:r>
      </w:hyperlink>
      <w:r>
        <w:t xml:space="preserve">). Simulations indicated that 70 participants per group would yield 84.2% power (α = .05). To account for exclusions, we collected data from 80 participants per group. </w:t>
      </w:r>
      <w:r w:rsidR="0049632F" w:rsidRPr="000257CB">
        <w:rPr>
          <w:color w:val="EE0000"/>
        </w:rPr>
        <w:t>Following the pre-registered protocol</w:t>
      </w:r>
      <w:r w:rsidR="0049632F">
        <w:t>, s</w:t>
      </w:r>
      <w:r>
        <w:t>even participants were excluded due to low accuracy (&lt;70%), RTs deviating ±3 SDs from the group mean, or poor performance in the reporting task. The final sample included 153 participants (</w:t>
      </w:r>
      <m:oMath>
        <m:sSub>
          <m:sSubPr>
            <m:ctrlPr>
              <w:rPr>
                <w:rFonts w:ascii="Cambria Math" w:hAnsi="Cambria Math"/>
              </w:rPr>
            </m:ctrlPr>
          </m:sSubPr>
          <m:e>
            <m:r>
              <w:rPr>
                <w:rFonts w:ascii="Cambria Math" w:hAnsi="Cambria Math"/>
              </w:rPr>
              <m:t>n</m:t>
            </m:r>
          </m:e>
          <m:sub>
            <m:r>
              <m:rPr>
                <m:nor/>
              </m:rPr>
              <m:t>color</m:t>
            </m:r>
          </m:sub>
        </m:sSub>
        <m:r>
          <m:rPr>
            <m:sty m:val="p"/>
          </m:rPr>
          <w:rPr>
            <w:rFonts w:ascii="Cambria Math" w:hAnsi="Cambria Math"/>
          </w:rPr>
          <m:t>=</m:t>
        </m:r>
        <m:r>
          <w:rPr>
            <w:rFonts w:ascii="Cambria Math" w:hAnsi="Cambria Math"/>
          </w:rPr>
          <m:t>77</m:t>
        </m:r>
      </m:oMath>
      <w:r>
        <w:t xml:space="preserve">, </w:t>
      </w:r>
      <m:oMath>
        <m:sSub>
          <m:sSubPr>
            <m:ctrlPr>
              <w:rPr>
                <w:rFonts w:ascii="Cambria Math" w:hAnsi="Cambria Math"/>
              </w:rPr>
            </m:ctrlPr>
          </m:sSubPr>
          <m:e>
            <m:r>
              <w:rPr>
                <w:rFonts w:ascii="Cambria Math" w:hAnsi="Cambria Math"/>
              </w:rPr>
              <m:t>n</m:t>
            </m:r>
          </m:e>
          <m:sub>
            <m:r>
              <m:rPr>
                <m:nor/>
              </m:rPr>
              <m:t>location</m:t>
            </m:r>
          </m:sub>
        </m:sSub>
        <m:r>
          <m:rPr>
            <m:sty m:val="p"/>
          </m:rPr>
          <w:rPr>
            <w:rFonts w:ascii="Cambria Math" w:hAnsi="Cambria Math"/>
          </w:rPr>
          <m:t>=</m:t>
        </m:r>
        <m:r>
          <w:rPr>
            <w:rFonts w:ascii="Cambria Math" w:hAnsi="Cambria Math"/>
          </w:rPr>
          <m:t>76</m:t>
        </m:r>
      </m:oMath>
      <w:r>
        <w:t xml:space="preserve">; 117 self-identified as women; </w:t>
      </w:r>
      <m:oMath>
        <m:sSub>
          <m:sSubPr>
            <m:ctrlPr>
              <w:rPr>
                <w:rFonts w:ascii="Cambria Math" w:hAnsi="Cambria Math"/>
              </w:rPr>
            </m:ctrlPr>
          </m:sSubPr>
          <m:e>
            <m:r>
              <w:rPr>
                <w:rFonts w:ascii="Cambria Math" w:hAnsi="Cambria Math"/>
              </w:rPr>
              <m:t>M</m:t>
            </m:r>
          </m:e>
          <m:sub>
            <m:r>
              <m:rPr>
                <m:nor/>
              </m:rPr>
              <m:t>age</m:t>
            </m:r>
          </m:sub>
        </m:sSub>
        <m:r>
          <m:rPr>
            <m:sty m:val="p"/>
          </m:rPr>
          <w:rPr>
            <w:rFonts w:ascii="Cambria Math" w:hAnsi="Cambria Math"/>
          </w:rPr>
          <m:t>=</m:t>
        </m:r>
        <m:r>
          <w:rPr>
            <w:rFonts w:ascii="Cambria Math" w:hAnsi="Cambria Math"/>
          </w:rPr>
          <m:t>21.4</m:t>
        </m:r>
      </m:oMath>
      <w:r>
        <w:t xml:space="preserve">, </w:t>
      </w:r>
      <m:oMath>
        <m:r>
          <w:rPr>
            <w:rFonts w:ascii="Cambria Math" w:hAnsi="Cambria Math"/>
          </w:rPr>
          <m:t>SD</m:t>
        </m:r>
        <m:r>
          <m:rPr>
            <m:sty m:val="p"/>
          </m:rPr>
          <w:rPr>
            <w:rFonts w:ascii="Cambria Math" w:hAnsi="Cambria Math"/>
          </w:rPr>
          <m:t>=</m:t>
        </m:r>
        <m:r>
          <w:rPr>
            <w:rFonts w:ascii="Cambria Math" w:hAnsi="Cambria Math"/>
          </w:rPr>
          <m:t>4.2</m:t>
        </m:r>
      </m:oMath>
      <w:r>
        <w:t>).</w:t>
      </w:r>
    </w:p>
    <w:p w14:paraId="68716817" w14:textId="77777777" w:rsidR="009E7B45" w:rsidRDefault="003E3E35">
      <w:pPr>
        <w:pStyle w:val="Ttulo2"/>
      </w:pPr>
      <w:bookmarkStart w:id="10" w:name="design-and-procedure"/>
      <w:bookmarkEnd w:id="9"/>
      <w:r>
        <w:t>Design and procedure</w:t>
      </w:r>
    </w:p>
    <w:p w14:paraId="68716818" w14:textId="11488DFE" w:rsidR="009E7B45" w:rsidRDefault="003E3E35">
      <w:pPr>
        <w:pStyle w:val="FirstParagraph"/>
      </w:pPr>
      <w:r>
        <w:t>Participants completed an online version of the additional singleton task (</w:t>
      </w:r>
      <w:hyperlink w:anchor="ref-garre-frutos2024">
        <w:r>
          <w:rPr>
            <w:rStyle w:val="Hipervnculo"/>
          </w:rPr>
          <w:t>Garre-Frutos et al., 2024</w:t>
        </w:r>
      </w:hyperlink>
      <w:r>
        <w:t xml:space="preserve">), in which they searched for a diamond target among circle distractors. The target always contained a horizontally or vertically oriented line segment, while each circle contained a segment tilted by 45 degrees. On most trials, one of the circles appeared in a uniquely colored </w:t>
      </w:r>
      <w:r>
        <w:lastRenderedPageBreak/>
        <w:t>singleton distractor (orange</w:t>
      </w:r>
      <w:r w:rsidR="00C152F9">
        <w:t>/</w:t>
      </w:r>
      <w:r>
        <w:t>blue or pink</w:t>
      </w:r>
      <w:r w:rsidR="00C152F9">
        <w:t>/</w:t>
      </w:r>
      <w:r>
        <w:t>green), which could be either a high- or low-value color</w:t>
      </w:r>
      <w:r w:rsidR="000257CB">
        <w:t xml:space="preserve">, </w:t>
      </w:r>
      <w:r w:rsidR="000257CB" w:rsidRPr="000257CB">
        <w:rPr>
          <w:color w:val="EE0000"/>
        </w:rPr>
        <w:t>counterbalanced</w:t>
      </w:r>
      <w:r>
        <w:t xml:space="preserve">. Participants were instructed to locate and report the orientation of the line segment within the diamond as quickly as possible by pressing the </w:t>
      </w:r>
      <w:r w:rsidRPr="00642B50">
        <w:rPr>
          <w:color w:val="EE0000"/>
        </w:rPr>
        <w:t>&lt;b&gt;</w:t>
      </w:r>
      <w:r>
        <w:t xml:space="preserve"> key for horizontal or the </w:t>
      </w:r>
      <w:r w:rsidRPr="00642B50">
        <w:rPr>
          <w:color w:val="EE0000"/>
        </w:rPr>
        <w:t>&lt;j&gt;</w:t>
      </w:r>
      <w:r>
        <w:t xml:space="preserve"> key for vertical.</w:t>
      </w:r>
    </w:p>
    <w:p w14:paraId="68716819" w14:textId="77777777" w:rsidR="009E7B45" w:rsidRDefault="003E3E35">
      <w:pPr>
        <w:pStyle w:val="FigureTitle"/>
      </w:pPr>
      <w:bookmarkStart w:id="11" w:name="fig-1"/>
      <w:r>
        <w:t>Figure 1</w:t>
      </w:r>
    </w:p>
    <w:p w14:paraId="6871681A" w14:textId="77777777" w:rsidR="009E7B45" w:rsidRDefault="003E3E35">
      <w:pPr>
        <w:pStyle w:val="Descripcin"/>
      </w:pPr>
      <w:r>
        <w:t>Schematic representation of the task.</w:t>
      </w:r>
    </w:p>
    <w:p w14:paraId="6871681B" w14:textId="77777777" w:rsidR="009E7B45" w:rsidRDefault="003E3E35">
      <w:pPr>
        <w:pStyle w:val="FigureWithNote"/>
      </w:pPr>
      <w:r>
        <w:rPr>
          <w:noProof/>
        </w:rPr>
        <w:drawing>
          <wp:inline distT="0" distB="0" distL="0" distR="0" wp14:anchorId="68716891" wp14:editId="68716892">
            <wp:extent cx="5943600" cy="4055017"/>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e_registation/figure_3.png"/>
                    <pic:cNvPicPr>
                      <a:picLocks noChangeAspect="1" noChangeArrowheads="1"/>
                    </pic:cNvPicPr>
                  </pic:nvPicPr>
                  <pic:blipFill>
                    <a:blip r:embed="rId23"/>
                    <a:stretch>
                      <a:fillRect/>
                    </a:stretch>
                  </pic:blipFill>
                  <pic:spPr bwMode="auto">
                    <a:xfrm>
                      <a:off x="0" y="0"/>
                      <a:ext cx="5943600" cy="4055017"/>
                    </a:xfrm>
                    <a:prstGeom prst="rect">
                      <a:avLst/>
                    </a:prstGeom>
                    <a:noFill/>
                    <a:ln w="9525">
                      <a:noFill/>
                      <a:headEnd/>
                      <a:tailEnd/>
                    </a:ln>
                  </pic:spPr>
                </pic:pic>
              </a:graphicData>
            </a:graphic>
          </wp:inline>
        </w:drawing>
      </w:r>
    </w:p>
    <w:bookmarkEnd w:id="11"/>
    <w:p w14:paraId="6871681C" w14:textId="77777777" w:rsidR="009E7B45" w:rsidRDefault="003E3E35">
      <w:pPr>
        <w:pStyle w:val="FigureNote"/>
      </w:pPr>
      <w:r>
        <w:rPr>
          <w:i/>
          <w:iCs/>
        </w:rPr>
        <w:t>Note</w:t>
      </w:r>
      <w:r>
        <w:t>. Example of the sequence of events in the experimental task. Participants could earn points based on performance, and when a high-value singleton appeared in the display, points were multiplied by 10 (a bonus trial). In some trials, participants were presented with the letter ‘R’, which signaled that participants had to report the color or the location (as a function of the assigned group) of the distractor in the preceding trial. Feedback was provided in Spanish.</w:t>
      </w:r>
    </w:p>
    <w:p w14:paraId="6871681D" w14:textId="77777777" w:rsidR="009E7B45" w:rsidRDefault="003E3E35">
      <w:pPr>
        <w:pStyle w:val="Textoindependiente"/>
      </w:pPr>
      <w:r>
        <w:lastRenderedPageBreak/>
        <w:t xml:space="preserve">Participants received 0.1 points for every millisecond their RTs were below 1000 ms on low-value distractor </w:t>
      </w:r>
      <w:r w:rsidRPr="0018117E">
        <w:rPr>
          <w:color w:val="EE0000"/>
        </w:rPr>
        <w:t>trials on correct responses,</w:t>
      </w:r>
      <w:r>
        <w:t xml:space="preserve"> </w:t>
      </w:r>
      <w:r w:rsidRPr="0018117E">
        <w:rPr>
          <w:color w:val="EE0000"/>
        </w:rPr>
        <w:t xml:space="preserve">and points were multiplied by 10 on high-value trials. Errors resulted in the loss of the same number of points earned on correct responses, and </w:t>
      </w:r>
      <w:r>
        <w:t>no points were awarded for RTs above 1000 ms. Critically, participants were not informed of the relationship between color and reward. The task consisted of six blocks of 48 trials (20 high- and low-value trials each, and 8 distractor-absent trials).</w:t>
      </w:r>
    </w:p>
    <w:p w14:paraId="6871681E" w14:textId="77777777" w:rsidR="009E7B45" w:rsidRDefault="003E3E35">
      <w:pPr>
        <w:pStyle w:val="Textoindependiente"/>
      </w:pPr>
      <w:r>
        <w:t xml:space="preserve">Participants were randomly assigned to one of two groups, each required to perform a brief secondary task that occurred pseudorandomly at the end of selected trials. One group reported the color of the singleton distractor from the previous trial, while the other reported its location, indicating whether it appeared on the left or right side of the display (Fig. 1). Participants were informed that the letter “R” would occasionally appear on the display after reward feedback, indicating that they had to report either the color or the location of the distractor, depending on their assigned group, using the </w:t>
      </w:r>
      <w:r w:rsidRPr="00642B50">
        <w:rPr>
          <w:color w:val="EE0000"/>
        </w:rPr>
        <w:t xml:space="preserve">&lt;c&gt; </w:t>
      </w:r>
      <w:r w:rsidRPr="00642B50">
        <w:rPr>
          <w:color w:val="000000" w:themeColor="text1"/>
        </w:rPr>
        <w:t>and</w:t>
      </w:r>
      <w:r w:rsidRPr="00642B50">
        <w:rPr>
          <w:color w:val="EE0000"/>
        </w:rPr>
        <w:t xml:space="preserve"> &lt;m&gt; </w:t>
      </w:r>
      <w:r>
        <w:t>keys to indicate left or right. To integrate the reporting task with the visual search task, correct responses were worth 2000 points, while incorrect responses resulted in the loss of the same number of points. Feedback on these trials was provided only at the end of each block. Participants encountered two or four report trials per block, with at least one in each half.</w:t>
      </w:r>
    </w:p>
    <w:p w14:paraId="6871681F" w14:textId="77777777" w:rsidR="009E7B45" w:rsidRDefault="003E3E35">
      <w:pPr>
        <w:pStyle w:val="Textoindependiente"/>
      </w:pPr>
      <w:r>
        <w:t xml:space="preserve">At the end of the experiment, participants completed an awareness test to assess their knowledge of the color-reward contingencies using a Visual Analog Scale (VAS; </w:t>
      </w:r>
      <w:hyperlink w:anchor="ref-Reips2008">
        <w:r>
          <w:rPr>
            <w:rStyle w:val="Hipervnculo"/>
          </w:rPr>
          <w:t>Reips &amp; Funke, 2008</w:t>
        </w:r>
      </w:hyperlink>
      <w:r>
        <w:t xml:space="preserve">). First, they rated the extent to which they believed the distractor color influenced the likelihood of “bonus trials” (contingency belief), on a scale from 0 (“I don’t believe color makes any difference”) to 100 (“I believe color completely determines the likelihood of bonus trials”). They then estimated the relative proportion of bonus trials associated with each color </w:t>
      </w:r>
      <w:r>
        <w:lastRenderedPageBreak/>
        <w:t>(contingency awareness). To do this, they were presented with another VAS showing the high- and low-rated distractors with endpoints indicating the percentage of bonus trials estimated to be associated with each color. After providing these ratings, participants indicated their confidence in each answer using a confidence VAS ranging from 0 (“no confidence”) to 100 (“very confident”).</w:t>
      </w:r>
    </w:p>
    <w:p w14:paraId="68716820" w14:textId="77777777" w:rsidR="009E7B45" w:rsidRDefault="003E3E35">
      <w:pPr>
        <w:pStyle w:val="Ttulo1"/>
      </w:pPr>
      <w:bookmarkStart w:id="12" w:name="results"/>
      <w:bookmarkEnd w:id="7"/>
      <w:bookmarkEnd w:id="10"/>
      <w:r>
        <w:t>Results</w:t>
      </w:r>
    </w:p>
    <w:p w14:paraId="68716821" w14:textId="38FC87FF" w:rsidR="009E7B45" w:rsidRDefault="007322F1">
      <w:pPr>
        <w:pStyle w:val="FirstParagraph"/>
      </w:pPr>
      <w:r w:rsidRPr="000257CB">
        <w:rPr>
          <w:color w:val="EE0000"/>
        </w:rPr>
        <w:t>Unless noted otherwise, a</w:t>
      </w:r>
      <w:r w:rsidR="003E3E35" w:rsidRPr="000257CB">
        <w:rPr>
          <w:color w:val="000000" w:themeColor="text1"/>
        </w:rPr>
        <w:t>ll</w:t>
      </w:r>
      <w:r w:rsidR="003E3E35" w:rsidRPr="000257CB">
        <w:rPr>
          <w:color w:val="EE0000"/>
        </w:rPr>
        <w:t xml:space="preserve"> </w:t>
      </w:r>
      <w:r w:rsidR="003E3E35">
        <w:t>the analyses reported</w:t>
      </w:r>
      <w:r w:rsidR="009F52E9">
        <w:t xml:space="preserve"> </w:t>
      </w:r>
      <w:r w:rsidR="003E3E35">
        <w:t>follow our preregistered analysis plan</w:t>
      </w:r>
      <w:r w:rsidR="00491E82">
        <w:t xml:space="preserve">, </w:t>
      </w:r>
      <w:r w:rsidR="0049632F" w:rsidRPr="000257CB">
        <w:rPr>
          <w:color w:val="EE0000"/>
        </w:rPr>
        <w:t>including data selection criteria, significance thresholds, and directionality of hypotheses</w:t>
      </w:r>
      <w:r w:rsidR="003E3E35">
        <w:t>. Following preregistration, we excluded incorrect responses (5.53%), anticipations and timeouts (RTs &lt; 150 or &gt; 1800 ms; 0.57%), and all trials from the first block of the visual search task</w:t>
      </w:r>
      <w:r w:rsidR="00E1054F">
        <w:t>.</w:t>
      </w:r>
    </w:p>
    <w:p w14:paraId="68716822" w14:textId="77777777" w:rsidR="009E7B45" w:rsidRDefault="003E3E35">
      <w:pPr>
        <w:pStyle w:val="Ttulo2"/>
      </w:pPr>
      <w:bookmarkStart w:id="13" w:name="report-task"/>
      <w:r>
        <w:t>Report task</w:t>
      </w:r>
    </w:p>
    <w:p w14:paraId="68716823" w14:textId="7994051B" w:rsidR="009E7B45" w:rsidRDefault="003E3E35">
      <w:pPr>
        <w:pStyle w:val="FirstParagraph"/>
      </w:pPr>
      <w:r>
        <w:t>We fitted a generalized linear mixed model (GLMM) with binomial likelihood to analyze accuracy on the report task, including a group predictor. Accuracy was high (</w:t>
      </w:r>
      <m:oMath>
        <m:sSub>
          <m:sSubPr>
            <m:ctrlPr>
              <w:rPr>
                <w:rFonts w:ascii="Cambria Math" w:hAnsi="Cambria Math"/>
              </w:rPr>
            </m:ctrlPr>
          </m:sSubPr>
          <m:e>
            <m:r>
              <w:rPr>
                <w:rFonts w:ascii="Cambria Math" w:hAnsi="Cambria Math"/>
              </w:rPr>
              <m:t>M</m:t>
            </m:r>
          </m:e>
          <m:sub>
            <m:r>
              <m:rPr>
                <m:nor/>
              </m:rPr>
              <m:t>Accuracy</m:t>
            </m:r>
          </m:sub>
        </m:sSub>
        <m:r>
          <m:rPr>
            <m:sty m:val="p"/>
          </m:rPr>
          <w:rPr>
            <w:rFonts w:ascii="Cambria Math" w:hAnsi="Cambria Math"/>
          </w:rPr>
          <m:t>=</m:t>
        </m:r>
        <m:r>
          <w:rPr>
            <w:rFonts w:ascii="Cambria Math" w:hAnsi="Cambria Math"/>
          </w:rPr>
          <m:t>0.946</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nor/>
          </m:rPr>
          <m:t>CI</m:t>
        </m:r>
        <m:d>
          <m:dPr>
            <m:begChr m:val="["/>
            <m:endChr m:val="]"/>
            <m:ctrlPr>
              <w:rPr>
                <w:rFonts w:ascii="Cambria Math" w:hAnsi="Cambria Math"/>
              </w:rPr>
            </m:ctrlPr>
          </m:dPr>
          <m:e>
            <m:r>
              <w:rPr>
                <w:rFonts w:ascii="Cambria Math" w:hAnsi="Cambria Math"/>
              </w:rPr>
              <m:t>0.933</m:t>
            </m:r>
            <m:r>
              <m:rPr>
                <m:sty m:val="p"/>
              </m:rPr>
              <w:rPr>
                <w:rFonts w:ascii="Cambria Math" w:hAnsi="Cambria Math"/>
              </w:rPr>
              <m:t xml:space="preserve">, </m:t>
            </m:r>
            <m:r>
              <w:rPr>
                <w:rFonts w:ascii="Cambria Math" w:hAnsi="Cambria Math"/>
              </w:rPr>
              <m:t>0.959</m:t>
            </m:r>
          </m:e>
        </m:d>
      </m:oMath>
      <w:r>
        <w:t>) and did not differ significantly between groups (</w:t>
      </w:r>
      <w:r>
        <w:rPr>
          <w:i/>
          <w:iCs/>
        </w:rPr>
        <w:t>p</w:t>
      </w:r>
      <w:r>
        <w:t xml:space="preserve"> = 0.749), suggesting that participants performed well on the secondary task.</w:t>
      </w:r>
    </w:p>
    <w:p w14:paraId="68716824" w14:textId="77777777" w:rsidR="009E7B45" w:rsidRDefault="003E3E35">
      <w:pPr>
        <w:pStyle w:val="Ttulo2"/>
      </w:pPr>
      <w:bookmarkStart w:id="14" w:name="visual-search-task"/>
      <w:bookmarkEnd w:id="13"/>
      <w:r>
        <w:t>Visual search task</w:t>
      </w:r>
    </w:p>
    <w:p w14:paraId="68716825" w14:textId="5FC19505" w:rsidR="009E7B45" w:rsidRDefault="003E3E35">
      <w:pPr>
        <w:pStyle w:val="FirstParagraph"/>
      </w:pPr>
      <w:r>
        <w:t xml:space="preserve">We analyzed log-transformed RTs using LMMs that included two predictors of theoretical interest: value-modulated attentional capture (VMAC: high- vs. low-value distractor) and attentional capture (AC: low-value vs. absent distractor), along with a Group predictor (color vs. location report task). </w:t>
      </w:r>
      <w:r w:rsidR="005E008C">
        <w:t>A</w:t>
      </w:r>
      <w:r>
        <w:t>ll contrasts were two-tailed except for the VMAC × Group interaction, for which</w:t>
      </w:r>
      <w:r w:rsidR="005E008C">
        <w:t xml:space="preserve">, </w:t>
      </w:r>
      <w:r w:rsidR="005E008C" w:rsidRPr="00FD527D">
        <w:rPr>
          <w:color w:val="EE0000"/>
        </w:rPr>
        <w:t>as preregistered and following our hypothesis</w:t>
      </w:r>
      <w:r w:rsidR="005E008C">
        <w:t xml:space="preserve">, </w:t>
      </w:r>
      <w:r>
        <w:t>we used a one-tailed test in the direction of a larger VMAC effect in the color group.</w:t>
      </w:r>
    </w:p>
    <w:p w14:paraId="68716826" w14:textId="77777777" w:rsidR="009E7B45" w:rsidRDefault="003E3E35">
      <w:pPr>
        <w:pStyle w:val="FigureTitle"/>
      </w:pPr>
      <w:bookmarkStart w:id="15" w:name="fig-2"/>
      <w:r>
        <w:lastRenderedPageBreak/>
        <w:t>Figure 2</w:t>
      </w:r>
    </w:p>
    <w:p w14:paraId="68716827" w14:textId="77777777" w:rsidR="009E7B45" w:rsidRDefault="003E3E35">
      <w:pPr>
        <w:pStyle w:val="Descripcin"/>
      </w:pPr>
      <w:r>
        <w:t>Summary of results</w:t>
      </w:r>
    </w:p>
    <w:p w14:paraId="68716828" w14:textId="139A4ABF" w:rsidR="009E7B45" w:rsidRDefault="00887E47">
      <w:pPr>
        <w:pStyle w:val="FigureWithNote"/>
      </w:pPr>
      <w:r>
        <w:rPr>
          <w:noProof/>
        </w:rPr>
        <w:drawing>
          <wp:inline distT="0" distB="0" distL="0" distR="0" wp14:anchorId="017737AF" wp14:editId="34010578">
            <wp:extent cx="5943600" cy="4898390"/>
            <wp:effectExtent l="0" t="0" r="0" b="0"/>
            <wp:docPr id="1898438997"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8997" name="Imagen 4" descr="Gráfico&#10;&#10;El contenido generado por IA puede ser incorrec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898390"/>
                    </a:xfrm>
                    <a:prstGeom prst="rect">
                      <a:avLst/>
                    </a:prstGeom>
                    <a:noFill/>
                    <a:ln>
                      <a:noFill/>
                    </a:ln>
                  </pic:spPr>
                </pic:pic>
              </a:graphicData>
            </a:graphic>
          </wp:inline>
        </w:drawing>
      </w:r>
    </w:p>
    <w:bookmarkEnd w:id="15"/>
    <w:p w14:paraId="68716829" w14:textId="43E46B39" w:rsidR="009E7B45" w:rsidRDefault="003E3E35">
      <w:pPr>
        <w:pStyle w:val="FigureNote"/>
      </w:pPr>
      <w:r>
        <w:rPr>
          <w:i/>
          <w:iCs/>
        </w:rPr>
        <w:t>Note</w:t>
      </w:r>
      <w:r>
        <w:t xml:space="preserve">. </w:t>
      </w:r>
      <w:r>
        <w:rPr>
          <w:b/>
          <w:bCs/>
        </w:rPr>
        <w:t>A</w:t>
      </w:r>
      <w:r>
        <w:t>) Mean RTs in the visual search task. Bars and dots show condition means; error bars indicate within-subject 95% CIs (</w:t>
      </w:r>
      <w:hyperlink w:anchor="ref-morey2008">
        <w:r>
          <w:rPr>
            <w:rStyle w:val="Hipervnculo"/>
          </w:rPr>
          <w:t>Morey, 2008</w:t>
        </w:r>
      </w:hyperlink>
      <w:r>
        <w:t xml:space="preserve">). </w:t>
      </w:r>
      <w:r>
        <w:rPr>
          <w:b/>
          <w:bCs/>
        </w:rPr>
        <w:t>B</w:t>
      </w:r>
      <w:r>
        <w:t xml:space="preserve">) Beta regression predictions for awareness results. Transparent dots are individual responses; lines and shaded areas show model predictions and 95% </w:t>
      </w:r>
      <w:r w:rsidR="00803E5D">
        <w:t>CIs, and solid dot points and error bars represent mean predicted responses at the group-level</w:t>
      </w:r>
      <w:r>
        <w:t xml:space="preserve">. </w:t>
      </w:r>
      <w:r>
        <w:rPr>
          <w:b/>
          <w:bCs/>
        </w:rPr>
        <w:t>C</w:t>
      </w:r>
      <w:r>
        <w:t xml:space="preserve">) RT analysis with contingency awareness as covariate. Transparent dots show individual VMAC scores; lines and shaded areas depict model predictions by task and awareness </w:t>
      </w:r>
      <w:r>
        <w:lastRenderedPageBreak/>
        <w:t xml:space="preserve">level. Solid, large dots and error bars show group means and 95% CIs. </w:t>
      </w:r>
      <w:r w:rsidR="00584EC8" w:rsidRPr="00DE3633">
        <w:rPr>
          <w:color w:val="FF0000"/>
          <w:lang w:val="en-US"/>
        </w:rPr>
        <w:t>Note that both the selective attention manipulation and contingency awareness have independent effect</w:t>
      </w:r>
      <w:r w:rsidR="00584EC8">
        <w:rPr>
          <w:color w:val="FF0000"/>
          <w:lang w:val="en-US"/>
        </w:rPr>
        <w:t xml:space="preserve">s </w:t>
      </w:r>
      <w:r w:rsidR="00584EC8" w:rsidRPr="00DE3633">
        <w:rPr>
          <w:color w:val="FF0000"/>
          <w:lang w:val="en-US"/>
        </w:rPr>
        <w:t xml:space="preserve">on observed VMAC scores, showing that our results </w:t>
      </w:r>
      <w:r w:rsidR="00584EC8">
        <w:rPr>
          <w:color w:val="FF0000"/>
          <w:lang w:val="en-US"/>
        </w:rPr>
        <w:t>can</w:t>
      </w:r>
      <w:r w:rsidR="00584EC8" w:rsidRPr="00DE3633">
        <w:rPr>
          <w:color w:val="FF0000"/>
          <w:lang w:val="en-US"/>
        </w:rPr>
        <w:t>not be explained by individual differences in awareness</w:t>
      </w:r>
      <w:r w:rsidR="003D17B1" w:rsidRPr="003D17B1">
        <w:t>.</w:t>
      </w:r>
    </w:p>
    <w:p w14:paraId="6871682A" w14:textId="77777777" w:rsidR="009E7B45" w:rsidRDefault="003E3E35">
      <w:pPr>
        <w:pStyle w:val="Textoindependiente"/>
      </w:pPr>
      <w:r>
        <w:t>RT analyses showed significant effects of both AC and VMAC (</w:t>
      </w:r>
      <m:oMath>
        <m:sSub>
          <m:sSubPr>
            <m:ctrlPr>
              <w:rPr>
                <w:rFonts w:ascii="Cambria Math" w:hAnsi="Cambria Math"/>
              </w:rPr>
            </m:ctrlPr>
          </m:sSubPr>
          <m:e>
            <m:r>
              <w:rPr>
                <w:rFonts w:ascii="Cambria Math" w:hAnsi="Cambria Math"/>
              </w:rPr>
              <m:t>β</m:t>
            </m:r>
          </m:e>
          <m:sub>
            <m:r>
              <m:rPr>
                <m:sty m:val="p"/>
              </m:rPr>
              <w:rPr>
                <w:rFonts w:ascii="Cambria Math" w:hAnsi="Cambria Math"/>
              </w:rPr>
              <m:t>VMAC</m:t>
            </m:r>
          </m:sub>
        </m:sSub>
        <m:r>
          <m:rPr>
            <m:sty m:val="p"/>
          </m:rPr>
          <w:rPr>
            <w:rFonts w:ascii="Cambria Math" w:hAnsi="Cambria Math"/>
          </w:rPr>
          <m:t>=</m:t>
        </m:r>
        <m:r>
          <w:rPr>
            <w:rFonts w:ascii="Cambria Math" w:hAnsi="Cambria Math"/>
          </w:rPr>
          <m:t>0.008</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2.57</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0.011</m:t>
        </m:r>
      </m:oMath>
      <w:r>
        <w:t xml:space="preserve">; </w:t>
      </w:r>
      <m:oMath>
        <m:sSub>
          <m:sSubPr>
            <m:ctrlPr>
              <w:rPr>
                <w:rFonts w:ascii="Cambria Math" w:hAnsi="Cambria Math"/>
              </w:rPr>
            </m:ctrlPr>
          </m:sSubPr>
          <m:e>
            <m:r>
              <w:rPr>
                <w:rFonts w:ascii="Cambria Math" w:hAnsi="Cambria Math"/>
              </w:rPr>
              <m:t>β</m:t>
            </m:r>
          </m:e>
          <m:sub>
            <m:r>
              <m:rPr>
                <m:sty m:val="p"/>
              </m:rPr>
              <w:rPr>
                <w:rFonts w:ascii="Cambria Math" w:hAnsi="Cambria Math"/>
              </w:rPr>
              <m:t>AC</m:t>
            </m:r>
          </m:sub>
        </m:sSub>
        <m:r>
          <m:rPr>
            <m:sty m:val="p"/>
          </m:rPr>
          <w:rPr>
            <w:rFonts w:ascii="Cambria Math" w:hAnsi="Cambria Math"/>
          </w:rPr>
          <m:t>=</m:t>
        </m:r>
        <m:r>
          <w:rPr>
            <w:rFonts w:ascii="Cambria Math" w:hAnsi="Cambria Math"/>
          </w:rPr>
          <m:t>0.062</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17.26</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0.001</m:t>
        </m:r>
      </m:oMath>
      <w:r>
        <w:t>), indicating that participants were slower in the presence of a high-value (</w:t>
      </w:r>
      <m:oMath>
        <m:sSub>
          <m:sSubPr>
            <m:ctrlPr>
              <w:rPr>
                <w:rFonts w:ascii="Cambria Math" w:hAnsi="Cambria Math"/>
              </w:rPr>
            </m:ctrlPr>
          </m:sSubPr>
          <m:e>
            <m:r>
              <w:rPr>
                <w:rFonts w:ascii="Cambria Math" w:hAnsi="Cambria Math"/>
              </w:rPr>
              <m:t>M</m:t>
            </m:r>
          </m:e>
          <m:sub>
            <m:r>
              <m:rPr>
                <m:sty m:val="p"/>
              </m:rPr>
              <w:rPr>
                <w:rFonts w:ascii="Cambria Math" w:hAnsi="Cambria Math"/>
              </w:rPr>
              <m:t>High</m:t>
            </m:r>
          </m:sub>
        </m:sSub>
        <m:r>
          <m:rPr>
            <m:sty m:val="p"/>
          </m:rPr>
          <w:rPr>
            <w:rFonts w:ascii="Cambria Math" w:hAnsi="Cambria Math"/>
          </w:rPr>
          <m:t>=</m:t>
        </m:r>
        <m:r>
          <w:rPr>
            <w:rFonts w:ascii="Cambria Math" w:hAnsi="Cambria Math"/>
          </w:rPr>
          <m:t>734.0</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sty m:val="p"/>
          </m:rPr>
          <w:rPr>
            <w:rFonts w:ascii="Cambria Math" w:hAnsi="Cambria Math"/>
          </w:rPr>
          <m:t>CI</m:t>
        </m:r>
        <m:d>
          <m:dPr>
            <m:begChr m:val="["/>
            <m:endChr m:val="]"/>
            <m:ctrlPr>
              <w:rPr>
                <w:rFonts w:ascii="Cambria Math" w:hAnsi="Cambria Math"/>
              </w:rPr>
            </m:ctrlPr>
          </m:dPr>
          <m:e>
            <m:r>
              <w:rPr>
                <w:rFonts w:ascii="Cambria Math" w:hAnsi="Cambria Math"/>
              </w:rPr>
              <m:t>719.6</m:t>
            </m:r>
            <m:r>
              <m:rPr>
                <m:sty m:val="p"/>
              </m:rPr>
              <w:rPr>
                <w:rFonts w:ascii="Cambria Math" w:hAnsi="Cambria Math"/>
              </w:rPr>
              <m:t>,</m:t>
            </m:r>
            <m:r>
              <w:rPr>
                <w:rFonts w:ascii="Cambria Math" w:hAnsi="Cambria Math"/>
              </w:rPr>
              <m:t>748.7</m:t>
            </m:r>
          </m:e>
        </m:d>
      </m:oMath>
      <w:r>
        <w:t>) compared to a low-value distractor (</w:t>
      </w:r>
      <m:oMath>
        <m:sSub>
          <m:sSubPr>
            <m:ctrlPr>
              <w:rPr>
                <w:rFonts w:ascii="Cambria Math" w:hAnsi="Cambria Math"/>
              </w:rPr>
            </m:ctrlPr>
          </m:sSubPr>
          <m:e>
            <m:r>
              <w:rPr>
                <w:rFonts w:ascii="Cambria Math" w:hAnsi="Cambria Math"/>
              </w:rPr>
              <m:t>M</m:t>
            </m:r>
          </m:e>
          <m:sub>
            <m:r>
              <m:rPr>
                <m:sty m:val="p"/>
              </m:rPr>
              <w:rPr>
                <w:rFonts w:ascii="Cambria Math" w:hAnsi="Cambria Math"/>
              </w:rPr>
              <m:t>Absent</m:t>
            </m:r>
          </m:sub>
        </m:sSub>
        <m:r>
          <m:rPr>
            <m:sty m:val="p"/>
          </m:rPr>
          <w:rPr>
            <w:rFonts w:ascii="Cambria Math" w:hAnsi="Cambria Math"/>
          </w:rPr>
          <m:t>=</m:t>
        </m:r>
        <m:r>
          <w:rPr>
            <w:rFonts w:ascii="Cambria Math" w:hAnsi="Cambria Math"/>
          </w:rPr>
          <m:t>684.0</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sty m:val="p"/>
          </m:rPr>
          <w:rPr>
            <w:rFonts w:ascii="Cambria Math" w:hAnsi="Cambria Math"/>
          </w:rPr>
          <m:t>CI</m:t>
        </m:r>
        <m:d>
          <m:dPr>
            <m:begChr m:val="["/>
            <m:endChr m:val="]"/>
            <m:ctrlPr>
              <w:rPr>
                <w:rFonts w:ascii="Cambria Math" w:hAnsi="Cambria Math"/>
              </w:rPr>
            </m:ctrlPr>
          </m:dPr>
          <m:e>
            <m:r>
              <w:rPr>
                <w:rFonts w:ascii="Cambria Math" w:hAnsi="Cambria Math"/>
              </w:rPr>
              <m:t>670.9</m:t>
            </m:r>
            <m:r>
              <m:rPr>
                <m:sty m:val="p"/>
              </m:rPr>
              <w:rPr>
                <w:rFonts w:ascii="Cambria Math" w:hAnsi="Cambria Math"/>
              </w:rPr>
              <m:t>,</m:t>
            </m:r>
            <m:r>
              <w:rPr>
                <w:rFonts w:ascii="Cambria Math" w:hAnsi="Cambria Math"/>
              </w:rPr>
              <m:t>697.4</m:t>
            </m:r>
          </m:e>
        </m:d>
      </m:oMath>
      <w:r>
        <w:t>), and faster when no distractor was present (</w:t>
      </w:r>
      <m:oMath>
        <m:sSub>
          <m:sSubPr>
            <m:ctrlPr>
              <w:rPr>
                <w:rFonts w:ascii="Cambria Math" w:hAnsi="Cambria Math"/>
              </w:rPr>
            </m:ctrlPr>
          </m:sSubPr>
          <m:e>
            <m:r>
              <w:rPr>
                <w:rFonts w:ascii="Cambria Math" w:hAnsi="Cambria Math"/>
              </w:rPr>
              <m:t>M</m:t>
            </m:r>
          </m:e>
          <m:sub>
            <m:r>
              <m:rPr>
                <m:sty m:val="p"/>
              </m:rPr>
              <w:rPr>
                <w:rFonts w:ascii="Cambria Math" w:hAnsi="Cambria Math"/>
              </w:rPr>
              <m:t>Low</m:t>
            </m:r>
          </m:sub>
        </m:sSub>
        <m:r>
          <m:rPr>
            <m:sty m:val="p"/>
          </m:rPr>
          <w:rPr>
            <w:rFonts w:ascii="Cambria Math" w:hAnsi="Cambria Math"/>
          </w:rPr>
          <m:t>=</m:t>
        </m:r>
        <m:r>
          <w:rPr>
            <w:rFonts w:ascii="Cambria Math" w:hAnsi="Cambria Math"/>
          </w:rPr>
          <m:t>728.3</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sty m:val="p"/>
          </m:rPr>
          <w:rPr>
            <w:rFonts w:ascii="Cambria Math" w:hAnsi="Cambria Math"/>
          </w:rPr>
          <m:t>CI</m:t>
        </m:r>
        <m:d>
          <m:dPr>
            <m:begChr m:val="["/>
            <m:endChr m:val="]"/>
            <m:ctrlPr>
              <w:rPr>
                <w:rFonts w:ascii="Cambria Math" w:hAnsi="Cambria Math"/>
              </w:rPr>
            </m:ctrlPr>
          </m:dPr>
          <m:e>
            <m:r>
              <w:rPr>
                <w:rFonts w:ascii="Cambria Math" w:hAnsi="Cambria Math"/>
              </w:rPr>
              <m:t>713.7</m:t>
            </m:r>
            <m:r>
              <m:rPr>
                <m:sty m:val="p"/>
              </m:rPr>
              <w:rPr>
                <w:rFonts w:ascii="Cambria Math" w:hAnsi="Cambria Math"/>
              </w:rPr>
              <m:t>,</m:t>
            </m:r>
            <m:r>
              <w:rPr>
                <w:rFonts w:ascii="Cambria Math" w:hAnsi="Cambria Math"/>
              </w:rPr>
              <m:t>743.2</m:t>
            </m:r>
          </m:e>
        </m:d>
      </m:oMath>
      <w:r>
        <w:t>). Critically, the Group predictor interacted significantly only with VMAC (</w:t>
      </w:r>
      <m:oMath>
        <m:sSub>
          <m:sSubPr>
            <m:ctrlPr>
              <w:rPr>
                <w:rFonts w:ascii="Cambria Math" w:hAnsi="Cambria Math"/>
              </w:rPr>
            </m:ctrlPr>
          </m:sSubPr>
          <m:e>
            <m:r>
              <w:rPr>
                <w:rFonts w:ascii="Cambria Math" w:hAnsi="Cambria Math"/>
              </w:rPr>
              <m:t>β</m:t>
            </m:r>
          </m:e>
          <m:sub>
            <m:r>
              <m:rPr>
                <m:sty m:val="p"/>
              </m:rPr>
              <w:rPr>
                <w:rFonts w:ascii="Cambria Math" w:hAnsi="Cambria Math"/>
              </w:rPr>
              <m:t>VMAC×Group</m:t>
            </m:r>
          </m:sub>
        </m:sSub>
        <m:r>
          <m:rPr>
            <m:sty m:val="p"/>
          </m:rPr>
          <w:rPr>
            <w:rFonts w:ascii="Cambria Math" w:hAnsi="Cambria Math"/>
          </w:rPr>
          <m:t>=</m:t>
        </m:r>
        <m:r>
          <w:rPr>
            <w:rFonts w:ascii="Cambria Math" w:hAnsi="Cambria Math"/>
          </w:rPr>
          <m:t>0.006</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1.98</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0.025</m:t>
        </m:r>
      </m:oMath>
      <w:r>
        <w:t>; Fig.2A), such that a significant VMAC effect was observed in the color group (</w:t>
      </w:r>
      <m:oMath>
        <m:sSub>
          <m:sSubPr>
            <m:ctrlPr>
              <w:rPr>
                <w:rFonts w:ascii="Cambria Math" w:hAnsi="Cambria Math"/>
              </w:rPr>
            </m:ctrlPr>
          </m:sSubPr>
          <m:e>
            <m:r>
              <w:rPr>
                <w:rFonts w:ascii="Cambria Math" w:hAnsi="Cambria Math"/>
              </w:rPr>
              <m:t>M</m:t>
            </m:r>
          </m:e>
          <m:sub>
            <m:r>
              <m:rPr>
                <m:sty m:val="p"/>
              </m:rPr>
              <w:rPr>
                <w:rFonts w:ascii="Cambria Math" w:hAnsi="Cambria Math"/>
              </w:rPr>
              <m:t>VMAC</m:t>
            </m:r>
          </m:sub>
        </m:sSub>
        <m:r>
          <m:rPr>
            <m:sty m:val="p"/>
          </m:rPr>
          <w:rPr>
            <w:rFonts w:ascii="Cambria Math" w:hAnsi="Cambria Math"/>
          </w:rPr>
          <m:t>=</m:t>
        </m:r>
        <m:r>
          <w:rPr>
            <w:rFonts w:ascii="Cambria Math" w:hAnsi="Cambria Math"/>
          </w:rPr>
          <m:t>10.4</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sty m:val="p"/>
          </m:rPr>
          <w:rPr>
            <w:rFonts w:ascii="Cambria Math" w:hAnsi="Cambria Math"/>
          </w:rPr>
          <m:t>CI</m:t>
        </m:r>
        <m:d>
          <m:dPr>
            <m:begChr m:val="["/>
            <m:endChr m:val="]"/>
            <m:ctrlPr>
              <w:rPr>
                <w:rFonts w:ascii="Cambria Math" w:hAnsi="Cambria Math"/>
              </w:rPr>
            </m:ctrlPr>
          </m:dPr>
          <m:e>
            <m:r>
              <w:rPr>
                <w:rFonts w:ascii="Cambria Math" w:hAnsi="Cambria Math"/>
              </w:rPr>
              <m:t>3.9</m:t>
            </m:r>
            <m:r>
              <m:rPr>
                <m:sty m:val="p"/>
              </m:rPr>
              <w:rPr>
                <w:rFonts w:ascii="Cambria Math" w:hAnsi="Cambria Math"/>
              </w:rPr>
              <m:t>,</m:t>
            </m:r>
            <m:r>
              <w:rPr>
                <w:rFonts w:ascii="Cambria Math" w:hAnsi="Cambria Math"/>
              </w:rPr>
              <m:t>16.8</m:t>
            </m:r>
          </m:e>
        </m:d>
      </m:oMath>
      <w:r>
        <w:t>) but not in the location group (</w:t>
      </w:r>
      <m:oMath>
        <m:sSub>
          <m:sSubPr>
            <m:ctrlPr>
              <w:rPr>
                <w:rFonts w:ascii="Cambria Math" w:hAnsi="Cambria Math"/>
              </w:rPr>
            </m:ctrlPr>
          </m:sSubPr>
          <m:e>
            <m:r>
              <w:rPr>
                <w:rFonts w:ascii="Cambria Math" w:hAnsi="Cambria Math"/>
              </w:rPr>
              <m:t>M</m:t>
            </m:r>
          </m:e>
          <m:sub>
            <m:r>
              <m:rPr>
                <m:sty m:val="p"/>
              </m:rPr>
              <w:rPr>
                <w:rFonts w:ascii="Cambria Math" w:hAnsi="Cambria Math"/>
              </w:rPr>
              <m:t>VMAC</m:t>
            </m:r>
          </m:sub>
        </m:sSub>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sty m:val="p"/>
          </m:rPr>
          <w:rPr>
            <w:rFonts w:ascii="Cambria Math" w:hAnsi="Cambria Math"/>
          </w:rPr>
          <m:t>CI</m:t>
        </m:r>
        <m:d>
          <m:dPr>
            <m:begChr m:val="["/>
            <m:endChr m:val="]"/>
            <m:ctrlPr>
              <w:rPr>
                <w:rFonts w:ascii="Cambria Math" w:hAnsi="Cambria Math"/>
              </w:rPr>
            </m:ctrlPr>
          </m:dPr>
          <m:e>
            <m:r>
              <m:rPr>
                <m:sty m:val="p"/>
              </m:rPr>
              <w:rPr>
                <w:rFonts w:ascii="Cambria Math" w:hAnsi="Cambria Math"/>
              </w:rPr>
              <m:t>-</m:t>
            </m:r>
            <m:r>
              <w:rPr>
                <w:rFonts w:ascii="Cambria Math" w:hAnsi="Cambria Math"/>
              </w:rPr>
              <m:t>5.3</m:t>
            </m:r>
            <m:r>
              <m:rPr>
                <m:sty m:val="p"/>
              </m:rPr>
              <w:rPr>
                <w:rFonts w:ascii="Cambria Math" w:hAnsi="Cambria Math"/>
              </w:rPr>
              <m:t>,</m:t>
            </m:r>
            <m:r>
              <w:rPr>
                <w:rFonts w:ascii="Cambria Math" w:hAnsi="Cambria Math"/>
              </w:rPr>
              <m:t>7.6</m:t>
            </m:r>
          </m:e>
        </m:d>
      </m:oMath>
      <w:r>
        <w:t>)</w:t>
      </w:r>
      <w:r>
        <w:rPr>
          <w:rStyle w:val="Refdenotaalpie"/>
        </w:rPr>
        <w:footnoteReference w:id="2"/>
      </w:r>
      <w:r>
        <w:t>. No other effects reached significance (</w:t>
      </w:r>
      <w:r>
        <w:rPr>
          <w:i/>
          <w:iCs/>
        </w:rPr>
        <w:t>ps</w:t>
      </w:r>
      <w:r>
        <w:t xml:space="preserve"> &gt; 0.133).</w:t>
      </w:r>
    </w:p>
    <w:p w14:paraId="3DA6A91C" w14:textId="49359D1C" w:rsidR="009205B8" w:rsidRDefault="009205B8" w:rsidP="009205B8">
      <w:pPr>
        <w:pStyle w:val="Textoindependiente"/>
      </w:pPr>
      <w:r>
        <w:t>We also analyzed accuracy with a GLMM, showing that accuracy was high (</w:t>
      </w:r>
      <m:oMath>
        <m:sSub>
          <m:sSubPr>
            <m:ctrlPr>
              <w:rPr>
                <w:rFonts w:ascii="Cambria Math" w:hAnsi="Cambria Math"/>
              </w:rPr>
            </m:ctrlPr>
          </m:sSubPr>
          <m:e>
            <m:r>
              <w:rPr>
                <w:rFonts w:ascii="Cambria Math" w:hAnsi="Cambria Math"/>
              </w:rPr>
              <m:t>M</m:t>
            </m:r>
          </m:e>
          <m:sub>
            <m:r>
              <m:rPr>
                <m:nor/>
              </m:rPr>
              <m:t>Accuracy</m:t>
            </m:r>
          </m:sub>
        </m:sSub>
        <m:r>
          <m:rPr>
            <m:sty m:val="p"/>
          </m:rPr>
          <w:rPr>
            <w:rFonts w:ascii="Cambria Math" w:hAnsi="Cambria Math"/>
          </w:rPr>
          <m:t>=</m:t>
        </m:r>
        <m:r>
          <w:rPr>
            <w:rFonts w:ascii="Cambria Math" w:hAnsi="Cambria Math"/>
          </w:rPr>
          <m:t>0.953</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nor/>
          </m:rPr>
          <m:t>CI</m:t>
        </m:r>
        <m:d>
          <m:dPr>
            <m:begChr m:val="["/>
            <m:endChr m:val="]"/>
            <m:ctrlPr>
              <w:rPr>
                <w:rFonts w:ascii="Cambria Math" w:hAnsi="Cambria Math"/>
              </w:rPr>
            </m:ctrlPr>
          </m:dPr>
          <m:e>
            <m:r>
              <w:rPr>
                <w:rFonts w:ascii="Cambria Math" w:hAnsi="Cambria Math"/>
              </w:rPr>
              <m:t>0.948</m:t>
            </m:r>
            <m:r>
              <m:rPr>
                <m:sty m:val="p"/>
              </m:rPr>
              <w:rPr>
                <w:rFonts w:ascii="Cambria Math" w:hAnsi="Cambria Math"/>
              </w:rPr>
              <m:t>,</m:t>
            </m:r>
            <m:r>
              <w:rPr>
                <w:rFonts w:ascii="Cambria Math" w:hAnsi="Cambria Math"/>
              </w:rPr>
              <m:t>0.959</m:t>
            </m:r>
          </m:e>
        </m:d>
      </m:oMath>
      <w:r>
        <w:t>) and none of the predictors reached significance (</w:t>
      </w:r>
      <w:r>
        <w:rPr>
          <w:i/>
          <w:iCs/>
        </w:rPr>
        <w:t>ps</w:t>
      </w:r>
      <w:r>
        <w:t xml:space="preserve"> &gt; 0.365).</w:t>
      </w:r>
    </w:p>
    <w:p w14:paraId="6D05B37E" w14:textId="77777777" w:rsidR="009205B8" w:rsidRDefault="009205B8">
      <w:pPr>
        <w:pStyle w:val="Textoindependiente"/>
      </w:pPr>
    </w:p>
    <w:p w14:paraId="3BEE6D92" w14:textId="77777777" w:rsidR="00636CBA" w:rsidRPr="00642B50" w:rsidRDefault="00636CBA" w:rsidP="00636CBA">
      <w:pPr>
        <w:pStyle w:val="FigureTitle"/>
        <w:rPr>
          <w:color w:val="EE0000"/>
        </w:rPr>
      </w:pPr>
      <w:bookmarkStart w:id="16" w:name="fig-3"/>
      <w:r w:rsidRPr="00642B50">
        <w:rPr>
          <w:color w:val="EE0000"/>
        </w:rPr>
        <w:lastRenderedPageBreak/>
        <w:t>Figure 3</w:t>
      </w:r>
    </w:p>
    <w:p w14:paraId="44EE3CA6" w14:textId="77777777" w:rsidR="00636CBA" w:rsidRPr="00642B50" w:rsidRDefault="00636CBA" w:rsidP="00636CBA">
      <w:pPr>
        <w:pStyle w:val="Descripcin"/>
        <w:rPr>
          <w:color w:val="EE0000"/>
        </w:rPr>
      </w:pPr>
      <w:r w:rsidRPr="00642B50">
        <w:rPr>
          <w:color w:val="EE0000"/>
        </w:rPr>
        <w:t>Meta-analysis comparing the present results with prior literature</w:t>
      </w:r>
    </w:p>
    <w:p w14:paraId="02999881" w14:textId="77777777" w:rsidR="00636CBA" w:rsidRPr="00642B50" w:rsidRDefault="00636CBA" w:rsidP="00636CBA">
      <w:pPr>
        <w:pStyle w:val="FigureWithNote"/>
        <w:rPr>
          <w:color w:val="EE0000"/>
        </w:rPr>
      </w:pPr>
      <w:r w:rsidRPr="00642B50">
        <w:rPr>
          <w:noProof/>
          <w:color w:val="EE0000"/>
        </w:rPr>
        <w:drawing>
          <wp:inline distT="0" distB="0" distL="0" distR="0" wp14:anchorId="10668825" wp14:editId="48819B01">
            <wp:extent cx="5943600" cy="3741420"/>
            <wp:effectExtent l="0" t="0" r="0" b="0"/>
            <wp:docPr id="493136653" name="Imagen 3" descr="Gráfico, Diagrama,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36653" name="Imagen 3" descr="Gráfico, Diagrama, Gráfico de cajas y bigotes&#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bookmarkEnd w:id="16"/>
    <w:p w14:paraId="6FD710B6" w14:textId="097E2F24" w:rsidR="00636CBA" w:rsidRPr="00491E82" w:rsidRDefault="00636CBA" w:rsidP="00491E82">
      <w:pPr>
        <w:pStyle w:val="FigureNote"/>
        <w:rPr>
          <w:color w:val="EE0000"/>
        </w:rPr>
      </w:pPr>
      <w:r w:rsidRPr="00642B50">
        <w:rPr>
          <w:i/>
          <w:iCs/>
          <w:color w:val="EE0000"/>
        </w:rPr>
        <w:t>Note</w:t>
      </w:r>
      <w:r w:rsidRPr="00642B50">
        <w:rPr>
          <w:color w:val="EE0000"/>
        </w:rPr>
        <w:t xml:space="preserve">. To illustrate the conceptual similarities between manipulating instructions and selective attention, </w:t>
      </w:r>
      <w:proofErr w:type="gramStart"/>
      <w:r w:rsidR="005E008C">
        <w:rPr>
          <w:color w:val="EE0000"/>
        </w:rPr>
        <w:t xml:space="preserve">blue </w:t>
      </w:r>
      <w:r w:rsidRPr="00642B50">
        <w:rPr>
          <w:color w:val="EE0000"/>
        </w:rPr>
        <w:t>color</w:t>
      </w:r>
      <w:proofErr w:type="gramEnd"/>
      <w:r w:rsidRPr="00642B50">
        <w:rPr>
          <w:color w:val="EE0000"/>
        </w:rPr>
        <w:t xml:space="preserve"> indicates </w:t>
      </w:r>
      <w:r w:rsidR="005E008C">
        <w:rPr>
          <w:color w:val="EE0000"/>
        </w:rPr>
        <w:t>that</w:t>
      </w:r>
      <w:r w:rsidR="00B60CB0">
        <w:rPr>
          <w:color w:val="EE0000"/>
        </w:rPr>
        <w:t xml:space="preserve"> </w:t>
      </w:r>
      <w:r w:rsidRPr="00642B50">
        <w:rPr>
          <w:color w:val="EE0000"/>
        </w:rPr>
        <w:t>participants received instructions about the feature-reward contingency or selectively attended to color</w:t>
      </w:r>
      <w:r w:rsidR="00E7045F">
        <w:rPr>
          <w:color w:val="EE0000"/>
        </w:rPr>
        <w:t xml:space="preserve"> (</w:t>
      </w:r>
      <w:r w:rsidRPr="00642B50">
        <w:rPr>
          <w:color w:val="EE0000"/>
        </w:rPr>
        <w:t>in the present study)</w:t>
      </w:r>
      <w:r w:rsidR="00E2561F">
        <w:rPr>
          <w:color w:val="EE0000"/>
        </w:rPr>
        <w:t>,</w:t>
      </w:r>
      <w:r w:rsidRPr="00642B50">
        <w:rPr>
          <w:color w:val="EE0000"/>
        </w:rPr>
        <w:t xml:space="preserve"> </w:t>
      </w:r>
      <w:r w:rsidR="005E008C">
        <w:rPr>
          <w:color w:val="EE0000"/>
        </w:rPr>
        <w:t>while orange indicates that</w:t>
      </w:r>
      <w:r w:rsidR="00B60CB0">
        <w:rPr>
          <w:color w:val="EE0000"/>
        </w:rPr>
        <w:t xml:space="preserve"> they did not receive instructions or </w:t>
      </w:r>
      <w:r w:rsidRPr="00642B50">
        <w:rPr>
          <w:color w:val="EE0000"/>
        </w:rPr>
        <w:t>selective</w:t>
      </w:r>
      <w:r w:rsidR="00B60CB0">
        <w:rPr>
          <w:color w:val="EE0000"/>
        </w:rPr>
        <w:t>ly</w:t>
      </w:r>
      <w:r w:rsidRPr="00642B50">
        <w:rPr>
          <w:color w:val="EE0000"/>
        </w:rPr>
        <w:t xml:space="preserve"> atten</w:t>
      </w:r>
      <w:r w:rsidR="00B60CB0">
        <w:rPr>
          <w:color w:val="EE0000"/>
        </w:rPr>
        <w:t>ded</w:t>
      </w:r>
      <w:r w:rsidRPr="00642B50">
        <w:rPr>
          <w:color w:val="EE0000"/>
        </w:rPr>
        <w:t xml:space="preserve"> to location</w:t>
      </w:r>
      <w:r w:rsidR="00E7045F">
        <w:rPr>
          <w:color w:val="EE0000"/>
        </w:rPr>
        <w:t xml:space="preserve"> (</w:t>
      </w:r>
      <w:r w:rsidR="00B60CB0">
        <w:rPr>
          <w:color w:val="EE0000"/>
        </w:rPr>
        <w:t>in the present study</w:t>
      </w:r>
      <w:r w:rsidRPr="00642B50">
        <w:rPr>
          <w:color w:val="EE0000"/>
        </w:rPr>
        <w:t xml:space="preserve">). The blue dashed line indicates the meta-analytic estimate </w:t>
      </w:r>
      <w:r w:rsidR="00B60CB0">
        <w:rPr>
          <w:color w:val="EE0000"/>
        </w:rPr>
        <w:t xml:space="preserve">(Standardized Mean Difference) </w:t>
      </w:r>
      <w:r w:rsidRPr="00642B50">
        <w:rPr>
          <w:color w:val="EE0000"/>
        </w:rPr>
        <w:t xml:space="preserve">of the effect of reward-driven distraction in the broader literature (0.35; Rusz et al., </w:t>
      </w:r>
      <w:hyperlink w:anchor="ref-rusz2020">
        <w:r w:rsidRPr="00642B50">
          <w:rPr>
            <w:rStyle w:val="Hipervnculo"/>
            <w:color w:val="EE0000"/>
          </w:rPr>
          <w:t>2020</w:t>
        </w:r>
      </w:hyperlink>
      <w:r w:rsidRPr="00642B50">
        <w:rPr>
          <w:color w:val="EE0000"/>
        </w:rPr>
        <w:t xml:space="preserve">). </w:t>
      </w:r>
      <w:r w:rsidR="009205B8">
        <w:rPr>
          <w:color w:val="EE0000"/>
        </w:rPr>
        <w:t>Squares</w:t>
      </w:r>
      <w:r w:rsidRPr="00642B50">
        <w:rPr>
          <w:color w:val="EE0000"/>
        </w:rPr>
        <w:t xml:space="preserve"> indicate standardized effect sizes for individual studies, with size indicating precision and error bars indicating CI. Results from the meta-analysis showed that the effect size observed in the present study for the color group is </w:t>
      </w:r>
      <w:r w:rsidR="00800795">
        <w:rPr>
          <w:color w:val="EE0000"/>
        </w:rPr>
        <w:t xml:space="preserve">perfectly </w:t>
      </w:r>
      <w:r w:rsidRPr="00642B50">
        <w:rPr>
          <w:color w:val="EE0000"/>
        </w:rPr>
        <w:t>consistent with effect sizes observed in the literature and prior studies.</w:t>
      </w:r>
      <w:r w:rsidR="00A8316A">
        <w:rPr>
          <w:color w:val="EE0000"/>
        </w:rPr>
        <w:t xml:space="preserve"> </w:t>
      </w:r>
    </w:p>
    <w:p w14:paraId="01842AA1" w14:textId="6713D100" w:rsidR="00851062" w:rsidRDefault="00A8316A" w:rsidP="00491E82">
      <w:pPr>
        <w:pStyle w:val="Textoindependiente"/>
        <w:rPr>
          <w:rStyle w:val="rev"/>
        </w:rPr>
      </w:pPr>
      <w:r>
        <w:rPr>
          <w:rStyle w:val="rev"/>
        </w:rPr>
        <w:lastRenderedPageBreak/>
        <w:t>Note</w:t>
      </w:r>
      <w:r w:rsidR="00491E82">
        <w:rPr>
          <w:rStyle w:val="rev"/>
        </w:rPr>
        <w:t xml:space="preserve"> that t</w:t>
      </w:r>
      <w:r w:rsidR="00491E82" w:rsidRPr="00491E82">
        <w:rPr>
          <w:rStyle w:val="rev"/>
        </w:rPr>
        <w:t>he size of the VMAC effect in the color group is fully consistent with previous studies where participants were informed about the feature–reward contingency, whereas the (null) effect in the location group matches the typical findings of studies without such instructions</w:t>
      </w:r>
      <w:r>
        <w:rPr>
          <w:rStyle w:val="rev"/>
        </w:rPr>
        <w:t xml:space="preserve">. </w:t>
      </w:r>
      <w:r w:rsidR="00491E82" w:rsidRPr="00491E82">
        <w:rPr>
          <w:rStyle w:val="rev"/>
        </w:rPr>
        <w:t xml:space="preserve">To </w:t>
      </w:r>
      <w:r w:rsidR="00E2561F">
        <w:rPr>
          <w:rStyle w:val="rev"/>
        </w:rPr>
        <w:t>confirm</w:t>
      </w:r>
      <w:r w:rsidR="00491E82" w:rsidRPr="00491E82">
        <w:rPr>
          <w:rStyle w:val="rev"/>
        </w:rPr>
        <w:t xml:space="preserve"> this consistency, we conducted a (non-registered) meta-analysis on the standardized VMAC effect size</w:t>
      </w:r>
      <w:r>
        <w:rPr>
          <w:rStyle w:val="rev"/>
        </w:rPr>
        <w:t xml:space="preserve"> (see the Supplementary Material)</w:t>
      </w:r>
      <w:r w:rsidR="00491E82" w:rsidRPr="00491E82">
        <w:rPr>
          <w:rStyle w:val="rev"/>
        </w:rPr>
        <w:t>, comparing the present results with prior studies using the same design</w:t>
      </w:r>
      <w:r>
        <w:rPr>
          <w:rStyle w:val="rev"/>
        </w:rPr>
        <w:t xml:space="preserve"> (Garre-Frutos et al., 2024; </w:t>
      </w:r>
      <w:r w:rsidRPr="00E2561F">
        <w:rPr>
          <w:color w:val="EE0000"/>
        </w:rPr>
        <w:t xml:space="preserve">Garre-Frutos, </w:t>
      </w:r>
      <w:proofErr w:type="spellStart"/>
      <w:r w:rsidRPr="00E2561F">
        <w:rPr>
          <w:color w:val="EE0000"/>
        </w:rPr>
        <w:t>Lupiáñez</w:t>
      </w:r>
      <w:proofErr w:type="spellEnd"/>
      <w:r w:rsidRPr="00E2561F">
        <w:rPr>
          <w:color w:val="EE0000"/>
        </w:rPr>
        <w:t>, et al.</w:t>
      </w:r>
      <w:r>
        <w:rPr>
          <w:color w:val="EE0000"/>
        </w:rPr>
        <w:t xml:space="preserve">, </w:t>
      </w:r>
      <w:r w:rsidRPr="00E2561F">
        <w:rPr>
          <w:color w:val="EE0000"/>
        </w:rPr>
        <w:t>2025)</w:t>
      </w:r>
      <w:r>
        <w:rPr>
          <w:rStyle w:val="rev"/>
        </w:rPr>
        <w:t>,</w:t>
      </w:r>
      <w:r w:rsidR="00491E82" w:rsidRPr="00491E82">
        <w:rPr>
          <w:rStyle w:val="rev"/>
        </w:rPr>
        <w:t xml:space="preserve"> and with the meta-estimate from the broader literature (Rusz et al., 2020). As shown in Fig.3</w:t>
      </w:r>
      <w:r w:rsidR="00491E82">
        <w:rPr>
          <w:rStyle w:val="rev"/>
        </w:rPr>
        <w:t xml:space="preserve">, </w:t>
      </w:r>
      <w:r w:rsidR="00491E82" w:rsidRPr="00491E82">
        <w:rPr>
          <w:rStyle w:val="rev"/>
        </w:rPr>
        <w:t>effect sizes closely align with prior findings</w:t>
      </w:r>
      <w:r>
        <w:rPr>
          <w:rStyle w:val="rev"/>
        </w:rPr>
        <w:t>, with</w:t>
      </w:r>
      <w:r w:rsidR="00686157">
        <w:rPr>
          <w:rStyle w:val="rev"/>
        </w:rPr>
        <w:t xml:space="preserve"> no</w:t>
      </w:r>
      <w:r>
        <w:rPr>
          <w:rStyle w:val="rev"/>
        </w:rPr>
        <w:t xml:space="preserve"> significant</w:t>
      </w:r>
      <w:r w:rsidR="00491E82" w:rsidRPr="00491E82">
        <w:rPr>
          <w:rStyle w:val="rev"/>
        </w:rPr>
        <w:t xml:space="preserve"> heterogeneity within the two broad groups of studies, but significant differences between them. </w:t>
      </w:r>
      <w:r w:rsidR="004C7CD5" w:rsidRPr="00E2561F">
        <w:rPr>
          <w:color w:val="EE0000"/>
        </w:rPr>
        <w:t>An additional meta-analysis (reported in the Supplementary Material) shows that the VMAC</w:t>
      </w:r>
      <w:r w:rsidR="004C7CD5">
        <w:rPr>
          <w:color w:val="EE0000"/>
        </w:rPr>
        <w:t xml:space="preserve"> </w:t>
      </w:r>
      <w:r w:rsidR="004C7CD5" w:rsidRPr="00E2561F">
        <w:rPr>
          <w:color w:val="EE0000"/>
        </w:rPr>
        <w:t>×</w:t>
      </w:r>
      <w:r w:rsidR="004C7CD5">
        <w:rPr>
          <w:color w:val="EE0000"/>
        </w:rPr>
        <w:t xml:space="preserve"> </w:t>
      </w:r>
      <w:r w:rsidR="004C7CD5" w:rsidRPr="00E2561F">
        <w:rPr>
          <w:color w:val="EE0000"/>
        </w:rPr>
        <w:t xml:space="preserve">Group interaction found in the present study is also comparable to the analogous interaction observed in Garre-Frutos, </w:t>
      </w:r>
      <w:proofErr w:type="spellStart"/>
      <w:r w:rsidR="004C7CD5" w:rsidRPr="00E2561F">
        <w:rPr>
          <w:color w:val="EE0000"/>
        </w:rPr>
        <w:t>Lupiáñez</w:t>
      </w:r>
      <w:proofErr w:type="spellEnd"/>
      <w:r w:rsidR="004C7CD5" w:rsidRPr="00E2561F">
        <w:rPr>
          <w:color w:val="EE0000"/>
        </w:rPr>
        <w:t>, et al. (2025), showing that manipulating selective attention to the reward-predictive feature has the same effect as manipulating instructions.</w:t>
      </w:r>
    </w:p>
    <w:p w14:paraId="68716831" w14:textId="77777777" w:rsidR="009E7B45" w:rsidRDefault="003E3E35">
      <w:pPr>
        <w:pStyle w:val="Ttulo2"/>
      </w:pPr>
      <w:bookmarkStart w:id="17" w:name="awareness"/>
      <w:bookmarkEnd w:id="14"/>
      <w:r>
        <w:t>Awareness</w:t>
      </w:r>
    </w:p>
    <w:p w14:paraId="68716832" w14:textId="204BC026" w:rsidR="009E7B45" w:rsidRDefault="003E3E35">
      <w:pPr>
        <w:pStyle w:val="FirstParagraph"/>
      </w:pPr>
      <w:r>
        <w:t>Following our preregistered plan, we analyzed awareness measures using beta regression (</w:t>
      </w:r>
      <w:hyperlink w:anchor="ref-smithson2006">
        <w:r>
          <w:rPr>
            <w:rStyle w:val="Hipervnculo"/>
          </w:rPr>
          <w:t>Smithson &amp; Verkuilen, 2006</w:t>
        </w:r>
      </w:hyperlink>
      <w:r>
        <w:t>). Neither measure differed significantly between groups (</w:t>
      </w:r>
      <w:r>
        <w:rPr>
          <w:i/>
          <w:iCs/>
        </w:rPr>
        <w:t>ps</w:t>
      </w:r>
      <w:r>
        <w:t xml:space="preserve"> &gt; 0.224). However, the two awareness measures were significantly correlated (</w:t>
      </w:r>
      <m:oMath>
        <m:r>
          <w:rPr>
            <w:rFonts w:ascii="Cambria Math" w:hAnsi="Cambria Math"/>
          </w:rPr>
          <m:t>β</m:t>
        </m:r>
        <m:r>
          <m:rPr>
            <m:sty m:val="p"/>
          </m:rPr>
          <w:rPr>
            <w:rFonts w:ascii="Cambria Math" w:hAnsi="Cambria Math"/>
          </w:rPr>
          <m:t>=</m:t>
        </m:r>
        <m:r>
          <w:rPr>
            <w:rFonts w:ascii="Cambria Math" w:hAnsi="Cambria Math"/>
          </w:rPr>
          <m:t>0.551</m:t>
        </m:r>
        <m:r>
          <m:rPr>
            <m:sty m:val="p"/>
          </m:rPr>
          <w:rPr>
            <w:rFonts w:ascii="Cambria Math" w:hAnsi="Cambria Math"/>
          </w:rPr>
          <m:t>,</m:t>
        </m:r>
        <m:r>
          <w:rPr>
            <w:rFonts w:ascii="Cambria Math" w:hAnsi="Cambria Math"/>
          </w:rPr>
          <m:t> z</m:t>
        </m:r>
        <m:r>
          <m:rPr>
            <m:sty m:val="p"/>
          </m:rPr>
          <w:rPr>
            <w:rFonts w:ascii="Cambria Math" w:hAnsi="Cambria Math"/>
          </w:rPr>
          <m:t>=</m:t>
        </m:r>
        <m:r>
          <w:rPr>
            <w:rFonts w:ascii="Cambria Math" w:hAnsi="Cambria Math"/>
          </w:rPr>
          <m:t>6.632</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0.001</m:t>
        </m:r>
      </m:oMath>
      <w:r>
        <w:t>; Fig. 2B) with no significant group differences in this correlation (</w:t>
      </w:r>
      <w:r>
        <w:rPr>
          <w:i/>
          <w:iCs/>
        </w:rPr>
        <w:t>p</w:t>
      </w:r>
      <w:r>
        <w:t xml:space="preserve"> = 0.444). While contingency awareness was positively associated with confidence (</w:t>
      </w:r>
      <m:oMath>
        <m:r>
          <w:rPr>
            <w:rFonts w:ascii="Cambria Math" w:hAnsi="Cambria Math"/>
          </w:rPr>
          <m:t>β</m:t>
        </m:r>
        <m:r>
          <m:rPr>
            <m:sty m:val="p"/>
          </m:rPr>
          <w:rPr>
            <w:rFonts w:ascii="Cambria Math" w:hAnsi="Cambria Math"/>
          </w:rPr>
          <m:t>=</m:t>
        </m:r>
        <m:r>
          <w:rPr>
            <w:rFonts w:ascii="Cambria Math" w:hAnsi="Cambria Math"/>
          </w:rPr>
          <m:t>0.579</m:t>
        </m:r>
        <m:r>
          <m:rPr>
            <m:sty m:val="p"/>
          </m:rPr>
          <w:rPr>
            <w:rFonts w:ascii="Cambria Math" w:hAnsi="Cambria Math"/>
          </w:rPr>
          <m:t>,</m:t>
        </m:r>
        <m:r>
          <w:rPr>
            <w:rFonts w:ascii="Cambria Math" w:hAnsi="Cambria Math"/>
          </w:rPr>
          <m:t> z</m:t>
        </m:r>
        <m:r>
          <m:rPr>
            <m:sty m:val="p"/>
          </m:rPr>
          <w:rPr>
            <w:rFonts w:ascii="Cambria Math" w:hAnsi="Cambria Math"/>
          </w:rPr>
          <m:t>=</m:t>
        </m:r>
        <m:r>
          <w:rPr>
            <w:rFonts w:ascii="Cambria Math" w:hAnsi="Cambria Math"/>
          </w:rPr>
          <m:t>7.197</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0.001</m:t>
        </m:r>
      </m:oMath>
      <w:r>
        <w:t xml:space="preserve">; no group difference, </w:t>
      </w:r>
      <w:r>
        <w:rPr>
          <w:i/>
          <w:iCs/>
        </w:rPr>
        <w:t>p</w:t>
      </w:r>
      <w:r>
        <w:t xml:space="preserve"> = 0.409), contingency belief was not (</w:t>
      </w:r>
      <w:r>
        <w:rPr>
          <w:i/>
          <w:iCs/>
        </w:rPr>
        <w:t>ps</w:t>
      </w:r>
      <w:r>
        <w:t xml:space="preserve"> &gt; 0.231).</w:t>
      </w:r>
    </w:p>
    <w:p w14:paraId="68716833" w14:textId="4C52BD68" w:rsidR="009E7B45" w:rsidRDefault="003E3E35" w:rsidP="00851062">
      <w:pPr>
        <w:pStyle w:val="Textoindependiente"/>
        <w:rPr>
          <w:rStyle w:val="rev"/>
        </w:rPr>
      </w:pPr>
      <w:r>
        <w:t>As preregistered, we repeated the RT analysis</w:t>
      </w:r>
      <w:r w:rsidR="00D66BBA">
        <w:t>,</w:t>
      </w:r>
      <w:r>
        <w:t xml:space="preserve"> </w:t>
      </w:r>
      <w:r w:rsidR="00D66BBA">
        <w:t xml:space="preserve">including </w:t>
      </w:r>
      <w:r>
        <w:t>contingency awareness and its interaction with VMAC as covariates. This analysis revealed a significant VMAC × awareness interaction (</w:t>
      </w:r>
      <m:oMath>
        <m:sSub>
          <m:sSubPr>
            <m:ctrlPr>
              <w:rPr>
                <w:rFonts w:ascii="Cambria Math" w:hAnsi="Cambria Math"/>
              </w:rPr>
            </m:ctrlPr>
          </m:sSubPr>
          <m:e>
            <m:r>
              <w:rPr>
                <w:rFonts w:ascii="Cambria Math" w:hAnsi="Cambria Math"/>
              </w:rPr>
              <m:t>β</m:t>
            </m:r>
          </m:e>
          <m:sub>
            <m:r>
              <m:rPr>
                <m:sty m:val="p"/>
              </m:rPr>
              <w:rPr>
                <w:rFonts w:ascii="Cambria Math" w:hAnsi="Cambria Math"/>
              </w:rPr>
              <m:t>VMAC×Awareness</m:t>
            </m:r>
          </m:sub>
        </m:sSub>
        <m:r>
          <m:rPr>
            <m:sty m:val="p"/>
          </m:rPr>
          <w:rPr>
            <w:rFonts w:ascii="Cambria Math" w:hAnsi="Cambria Math"/>
          </w:rPr>
          <m:t>=</m:t>
        </m:r>
        <m:r>
          <w:rPr>
            <w:rFonts w:ascii="Cambria Math" w:hAnsi="Cambria Math"/>
          </w:rPr>
          <m:t>0.008</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2.58</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0.011</m:t>
        </m:r>
      </m:oMath>
      <w:r>
        <w:t xml:space="preserve">), indicating a positive </w:t>
      </w:r>
      <w:r>
        <w:lastRenderedPageBreak/>
        <w:t>association (Figure 2C). However, the VMAC × Group interaction remained significant (</w:t>
      </w:r>
      <m:oMath>
        <m:sSub>
          <m:sSubPr>
            <m:ctrlPr>
              <w:rPr>
                <w:rFonts w:ascii="Cambria Math" w:hAnsi="Cambria Math"/>
              </w:rPr>
            </m:ctrlPr>
          </m:sSubPr>
          <m:e>
            <m:r>
              <w:rPr>
                <w:rFonts w:ascii="Cambria Math" w:hAnsi="Cambria Math"/>
              </w:rPr>
              <m:t>β</m:t>
            </m:r>
          </m:e>
          <m:sub>
            <m:r>
              <m:rPr>
                <m:sty m:val="p"/>
              </m:rPr>
              <w:rPr>
                <w:rFonts w:ascii="Cambria Math" w:hAnsi="Cambria Math"/>
              </w:rPr>
              <m:t>VMAC × Group</m:t>
            </m:r>
          </m:sub>
        </m:sSub>
        <m:r>
          <m:rPr>
            <m:sty m:val="p"/>
          </m:rPr>
          <w:rPr>
            <w:rFonts w:ascii="Cambria Math" w:hAnsi="Cambria Math"/>
          </w:rPr>
          <m:t>=</m:t>
        </m:r>
        <m:r>
          <w:rPr>
            <w:rFonts w:ascii="Cambria Math" w:hAnsi="Cambria Math"/>
          </w:rPr>
          <m:t>0.006</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151</m:t>
            </m:r>
          </m:sub>
        </m:sSub>
        <m:r>
          <m:rPr>
            <m:sty m:val="p"/>
          </m:rPr>
          <w:rPr>
            <w:rFonts w:ascii="Cambria Math" w:hAnsi="Cambria Math"/>
          </w:rPr>
          <m:t>=</m:t>
        </m:r>
        <m:r>
          <w:rPr>
            <w:rFonts w:ascii="Cambria Math" w:hAnsi="Cambria Math"/>
          </w:rPr>
          <m:t>1.79</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0.038</m:t>
        </m:r>
      </m:oMath>
      <w:r>
        <w:t xml:space="preserve">), </w:t>
      </w:r>
      <w:r w:rsidR="009205B8" w:rsidRPr="00851062">
        <w:rPr>
          <w:color w:val="EE0000"/>
        </w:rPr>
        <w:t xml:space="preserve">with a significant VMAC effect in the color group, even </w:t>
      </w:r>
      <w:r w:rsidR="00634113">
        <w:rPr>
          <w:color w:val="EE0000"/>
        </w:rPr>
        <w:t>assuming</w:t>
      </w:r>
      <w:r w:rsidR="009205B8" w:rsidRPr="00851062">
        <w:rPr>
          <w:color w:val="EE0000"/>
        </w:rPr>
        <w:t xml:space="preserve"> no contingency awareness</w:t>
      </w:r>
      <w:r w:rsidR="00851062" w:rsidRPr="00851062">
        <w:rPr>
          <w:rStyle w:val="rev"/>
        </w:rPr>
        <w:t xml:space="preserve"> </w:t>
      </w:r>
      <w:r>
        <w:rPr>
          <w:rStyle w:val="rev"/>
        </w:rPr>
        <w:t>(</w:t>
      </w:r>
      <m:oMath>
        <m:sSub>
          <m:sSubPr>
            <m:ctrlPr>
              <w:rPr>
                <w:rFonts w:ascii="Cambria Math" w:hAnsi="Cambria Math"/>
                <w:color w:val="EE0000"/>
              </w:rPr>
            </m:ctrlPr>
          </m:sSubPr>
          <m:e>
            <m:r>
              <w:rPr>
                <w:rFonts w:ascii="Cambria Math" w:hAnsi="Cambria Math"/>
                <w:color w:val="EE0000"/>
              </w:rPr>
              <m:t>M</m:t>
            </m:r>
          </m:e>
          <m:sub>
            <m:r>
              <m:rPr>
                <m:sty m:val="p"/>
              </m:rPr>
              <w:rPr>
                <w:rFonts w:ascii="Cambria Math" w:hAnsi="Cambria Math"/>
                <w:color w:val="EE0000"/>
              </w:rPr>
              <m:t>VMAC</m:t>
            </m:r>
          </m:sub>
        </m:sSub>
        <m:r>
          <m:rPr>
            <m:sty m:val="p"/>
          </m:rPr>
          <w:rPr>
            <w:rFonts w:ascii="Cambria Math" w:hAnsi="Cambria Math"/>
            <w:color w:val="EE0000"/>
          </w:rPr>
          <m:t>=</m:t>
        </m:r>
        <m:r>
          <w:rPr>
            <w:rFonts w:ascii="Cambria Math" w:hAnsi="Cambria Math"/>
            <w:color w:val="EE0000"/>
          </w:rPr>
          <m:t>7.2</m:t>
        </m:r>
        <m:r>
          <m:rPr>
            <m:sty m:val="p"/>
          </m:rPr>
          <w:rPr>
            <w:rFonts w:ascii="Cambria Math" w:hAnsi="Cambria Math"/>
            <w:color w:val="EE0000"/>
          </w:rPr>
          <m:t>,</m:t>
        </m:r>
        <m:r>
          <w:rPr>
            <w:rFonts w:ascii="Cambria Math" w:hAnsi="Cambria Math"/>
            <w:color w:val="EE0000"/>
          </w:rPr>
          <m:t> 95</m:t>
        </m:r>
        <m:r>
          <m:rPr>
            <m:sty m:val="p"/>
          </m:rPr>
          <w:rPr>
            <w:rFonts w:ascii="Cambria Math" w:hAnsi="Cambria Math"/>
            <w:color w:val="EE0000"/>
          </w:rPr>
          <m:t>%</m:t>
        </m:r>
        <m:r>
          <w:rPr>
            <w:rFonts w:ascii="Cambria Math" w:hAnsi="Cambria Math"/>
            <w:color w:val="EE0000"/>
          </w:rPr>
          <m:t> </m:t>
        </m:r>
        <m:r>
          <m:rPr>
            <m:sty m:val="p"/>
          </m:rPr>
          <w:rPr>
            <w:rFonts w:ascii="Cambria Math" w:hAnsi="Cambria Math"/>
            <w:color w:val="EE0000"/>
          </w:rPr>
          <m:t>CI</m:t>
        </m:r>
        <m:d>
          <m:dPr>
            <m:begChr m:val="["/>
            <m:endChr m:val="]"/>
            <m:ctrlPr>
              <w:rPr>
                <w:rFonts w:ascii="Cambria Math" w:hAnsi="Cambria Math"/>
                <w:color w:val="EE0000"/>
              </w:rPr>
            </m:ctrlPr>
          </m:dPr>
          <m:e>
            <m:r>
              <w:rPr>
                <w:rFonts w:ascii="Cambria Math" w:hAnsi="Cambria Math"/>
                <w:color w:val="EE0000"/>
              </w:rPr>
              <m:t>0.5</m:t>
            </m:r>
            <m:r>
              <m:rPr>
                <m:sty m:val="p"/>
              </m:rPr>
              <w:rPr>
                <w:rFonts w:ascii="Cambria Math" w:hAnsi="Cambria Math"/>
                <w:color w:val="EE0000"/>
              </w:rPr>
              <m:t xml:space="preserve">, </m:t>
            </m:r>
            <m:r>
              <w:rPr>
                <w:rFonts w:ascii="Cambria Math" w:hAnsi="Cambria Math"/>
                <w:color w:val="EE0000"/>
              </w:rPr>
              <m:t>13.8</m:t>
            </m:r>
          </m:e>
        </m:d>
      </m:oMath>
      <w:r w:rsidRPr="00500462">
        <w:rPr>
          <w:rStyle w:val="rev"/>
        </w:rPr>
        <w:t>), but not in the location group (</w:t>
      </w:r>
      <m:oMath>
        <m:sSub>
          <m:sSubPr>
            <m:ctrlPr>
              <w:rPr>
                <w:rFonts w:ascii="Cambria Math" w:hAnsi="Cambria Math"/>
                <w:color w:val="EE0000"/>
              </w:rPr>
            </m:ctrlPr>
          </m:sSubPr>
          <m:e>
            <m:r>
              <w:rPr>
                <w:rFonts w:ascii="Cambria Math" w:hAnsi="Cambria Math"/>
                <w:color w:val="EE0000"/>
              </w:rPr>
              <m:t>M</m:t>
            </m:r>
          </m:e>
          <m:sub>
            <m:r>
              <m:rPr>
                <m:sty m:val="p"/>
              </m:rPr>
              <w:rPr>
                <w:rFonts w:ascii="Cambria Math" w:hAnsi="Cambria Math"/>
                <w:color w:val="EE0000"/>
              </w:rPr>
              <m:t>VMAC</m:t>
            </m:r>
          </m:sub>
        </m:sSub>
        <m:r>
          <m:rPr>
            <m:sty m:val="p"/>
          </m:rPr>
          <w:rPr>
            <w:rFonts w:ascii="Cambria Math" w:hAnsi="Cambria Math"/>
            <w:color w:val="EE0000"/>
          </w:rPr>
          <m:t>=-</m:t>
        </m:r>
        <m:r>
          <w:rPr>
            <w:rFonts w:ascii="Cambria Math" w:hAnsi="Cambria Math"/>
            <w:color w:val="EE0000"/>
          </w:rPr>
          <m:t>0.9</m:t>
        </m:r>
        <m:r>
          <m:rPr>
            <m:sty m:val="p"/>
          </m:rPr>
          <w:rPr>
            <w:rFonts w:ascii="Cambria Math" w:hAnsi="Cambria Math"/>
            <w:color w:val="EE0000"/>
          </w:rPr>
          <m:t>,</m:t>
        </m:r>
        <m:r>
          <w:rPr>
            <w:rFonts w:ascii="Cambria Math" w:hAnsi="Cambria Math"/>
            <w:color w:val="EE0000"/>
          </w:rPr>
          <m:t> 95</m:t>
        </m:r>
        <m:r>
          <m:rPr>
            <m:sty m:val="p"/>
          </m:rPr>
          <w:rPr>
            <w:rFonts w:ascii="Cambria Math" w:hAnsi="Cambria Math"/>
            <w:color w:val="EE0000"/>
          </w:rPr>
          <m:t>%</m:t>
        </m:r>
        <m:r>
          <w:rPr>
            <w:rFonts w:ascii="Cambria Math" w:hAnsi="Cambria Math"/>
            <w:color w:val="EE0000"/>
          </w:rPr>
          <m:t> </m:t>
        </m:r>
        <m:r>
          <m:rPr>
            <m:sty m:val="p"/>
          </m:rPr>
          <w:rPr>
            <w:rFonts w:ascii="Cambria Math" w:hAnsi="Cambria Math"/>
            <w:color w:val="EE0000"/>
          </w:rPr>
          <m:t>CI</m:t>
        </m:r>
        <m:d>
          <m:dPr>
            <m:begChr m:val="["/>
            <m:endChr m:val="]"/>
            <m:ctrlPr>
              <w:rPr>
                <w:rFonts w:ascii="Cambria Math" w:hAnsi="Cambria Math"/>
                <w:color w:val="EE0000"/>
              </w:rPr>
            </m:ctrlPr>
          </m:dPr>
          <m:e>
            <m:r>
              <m:rPr>
                <m:sty m:val="p"/>
              </m:rPr>
              <w:rPr>
                <w:rFonts w:ascii="Cambria Math" w:hAnsi="Cambria Math"/>
                <w:color w:val="EE0000"/>
              </w:rPr>
              <m:t>-</m:t>
            </m:r>
            <m:r>
              <w:rPr>
                <w:rFonts w:ascii="Cambria Math" w:hAnsi="Cambria Math"/>
                <w:color w:val="EE0000"/>
              </w:rPr>
              <m:t>7.3</m:t>
            </m:r>
            <m:r>
              <m:rPr>
                <m:sty m:val="p"/>
              </m:rPr>
              <w:rPr>
                <w:rFonts w:ascii="Cambria Math" w:hAnsi="Cambria Math"/>
                <w:color w:val="EE0000"/>
              </w:rPr>
              <m:t xml:space="preserve">, </m:t>
            </m:r>
            <m:r>
              <w:rPr>
                <w:rFonts w:ascii="Cambria Math" w:hAnsi="Cambria Math"/>
                <w:color w:val="EE0000"/>
              </w:rPr>
              <m:t>5.5</m:t>
            </m:r>
          </m:e>
        </m:d>
      </m:oMath>
      <w:r w:rsidRPr="00500462">
        <w:rPr>
          <w:rStyle w:val="rev"/>
        </w:rPr>
        <w:t xml:space="preserve">). </w:t>
      </w:r>
      <w:r>
        <w:rPr>
          <w:rStyle w:val="rev"/>
        </w:rPr>
        <w:t>Therefore, even though</w:t>
      </w:r>
      <w:r w:rsidR="00D66BBA">
        <w:rPr>
          <w:rStyle w:val="rev"/>
        </w:rPr>
        <w:t xml:space="preserve"> </w:t>
      </w:r>
      <w:r>
        <w:rPr>
          <w:rStyle w:val="rev"/>
        </w:rPr>
        <w:t xml:space="preserve">VMAC </w:t>
      </w:r>
      <w:r w:rsidR="00D66BBA">
        <w:rPr>
          <w:rStyle w:val="rev"/>
        </w:rPr>
        <w:t xml:space="preserve">and </w:t>
      </w:r>
      <w:r>
        <w:rPr>
          <w:rStyle w:val="rev"/>
        </w:rPr>
        <w:t>awareness</w:t>
      </w:r>
      <w:r w:rsidR="00D66BBA">
        <w:rPr>
          <w:rStyle w:val="rev"/>
        </w:rPr>
        <w:t xml:space="preserve"> interact</w:t>
      </w:r>
      <w:r>
        <w:rPr>
          <w:rStyle w:val="rev"/>
        </w:rPr>
        <w:t>, the interaction with selective attention cannot be explained by individual differences in awareness.</w:t>
      </w:r>
    </w:p>
    <w:p w14:paraId="7DC3A694" w14:textId="3F434B60" w:rsidR="007C3DD2" w:rsidRPr="007C3DD2" w:rsidRDefault="007C3DD2" w:rsidP="00851062">
      <w:pPr>
        <w:pStyle w:val="Textoindependiente"/>
        <w:rPr>
          <w:color w:val="EE0000"/>
        </w:rPr>
      </w:pPr>
      <w:r w:rsidRPr="007C3DD2">
        <w:rPr>
          <w:color w:val="EE0000"/>
        </w:rPr>
        <w:t>To test the robustness of the prior pre-registered analysis, following</w:t>
      </w:r>
      <w:r w:rsidR="00D66BBA">
        <w:rPr>
          <w:color w:val="EE0000"/>
        </w:rPr>
        <w:t xml:space="preserve"> a</w:t>
      </w:r>
      <w:r w:rsidRPr="007C3DD2">
        <w:rPr>
          <w:color w:val="EE0000"/>
        </w:rPr>
        <w:t xml:space="preserve"> reviewer’s suggestions, we perform additional non-preregistered analyses showing that there was no between-group differences in confidence rating for any awareness measure (</w:t>
      </w:r>
      <w:proofErr w:type="spellStart"/>
      <w:r w:rsidRPr="00B1316E">
        <w:rPr>
          <w:i/>
          <w:iCs/>
          <w:color w:val="EE0000"/>
        </w:rPr>
        <w:t>ps</w:t>
      </w:r>
      <w:proofErr w:type="spellEnd"/>
      <w:r w:rsidRPr="007C3DD2">
        <w:rPr>
          <w:color w:val="EE0000"/>
        </w:rPr>
        <w:t xml:space="preserve"> &gt; 0.311), and that our between-group manipulation remained significant even when controlling for Contingency Belief instead of Contingency Awareness, or even when both awareness measures were multiplied by their corresponding confidence rating (</w:t>
      </w:r>
      <w:proofErr w:type="spellStart"/>
      <w:r w:rsidRPr="00B1316E">
        <w:rPr>
          <w:i/>
          <w:iCs/>
          <w:color w:val="EE0000"/>
        </w:rPr>
        <w:t>ps</w:t>
      </w:r>
      <w:proofErr w:type="spellEnd"/>
      <w:r w:rsidRPr="007C3DD2">
        <w:rPr>
          <w:color w:val="EE0000"/>
        </w:rPr>
        <w:t xml:space="preserve"> &lt; 0.026). That is, results under specific pre-registered choices </w:t>
      </w:r>
      <w:proofErr w:type="gramStart"/>
      <w:r w:rsidRPr="007C3DD2">
        <w:rPr>
          <w:color w:val="EE0000"/>
        </w:rPr>
        <w:t>are in agreement</w:t>
      </w:r>
      <w:proofErr w:type="gramEnd"/>
      <w:r w:rsidRPr="007C3DD2">
        <w:rPr>
          <w:color w:val="EE0000"/>
        </w:rPr>
        <w:t xml:space="preserve"> with different plausible analytical choices.</w:t>
      </w:r>
    </w:p>
    <w:p w14:paraId="68716835" w14:textId="77777777" w:rsidR="009E7B45" w:rsidRDefault="003E3E35">
      <w:pPr>
        <w:pStyle w:val="Ttulo1"/>
      </w:pPr>
      <w:bookmarkStart w:id="18" w:name="discussion"/>
      <w:bookmarkEnd w:id="12"/>
      <w:bookmarkEnd w:id="17"/>
      <w:r>
        <w:t>Discussion</w:t>
      </w:r>
    </w:p>
    <w:p w14:paraId="68716836" w14:textId="77777777" w:rsidR="009E7B45" w:rsidRDefault="003E3E35">
      <w:pPr>
        <w:pStyle w:val="FirstParagraph"/>
      </w:pPr>
      <w:r>
        <w:t xml:space="preserve">In this preregistered study, we investigated the role of selective attention in the learning process underlying VMAC. We manipulated between groups whether participants reported the color or the location of a distractor in a concurrent task, forcing selective attention to a specific dimension of the distractor. Our results indicate that only participants tasked with reporting color showed a significant VMAC effect. Critically, the groups did not differ on any </w:t>
      </w:r>
      <w:r>
        <w:rPr>
          <w:i/>
          <w:iCs/>
        </w:rPr>
        <w:t>awareness measure</w:t>
      </w:r>
      <w:r>
        <w:t>, and the modulation of VMAC by task demands remained significant even after controlling for individual differences in awareness. However, such individual differences were positively associated with VMAC, suggesting that both contingency awareness and selective attention independently modulated the VMAC effect.</w:t>
      </w:r>
    </w:p>
    <w:p w14:paraId="37B71ADF" w14:textId="59F312EB" w:rsidR="004C7CD5" w:rsidRPr="004C7CD5" w:rsidRDefault="003E3E35" w:rsidP="004C7CD5">
      <w:pPr>
        <w:pStyle w:val="Textoindependiente"/>
      </w:pPr>
      <w:r w:rsidRPr="00D969AA">
        <w:rPr>
          <w:color w:val="EE0000"/>
        </w:rPr>
        <w:lastRenderedPageBreak/>
        <w:t xml:space="preserve">Similar to </w:t>
      </w:r>
      <w:r w:rsidRPr="00D969AA">
        <w:t>visual statistical learning (</w:t>
      </w:r>
      <w:hyperlink w:anchor="ref-wang2018">
        <w:r w:rsidRPr="00E402F5">
          <w:rPr>
            <w:rStyle w:val="Hipervnculo"/>
          </w:rPr>
          <w:t>Wang &amp; Theeuwes, 2018</w:t>
        </w:r>
      </w:hyperlink>
      <w:r w:rsidRPr="00D969AA">
        <w:t xml:space="preserve">), where learning needs </w:t>
      </w:r>
      <w:r w:rsidRPr="00D969AA">
        <w:rPr>
          <w:color w:val="EE0000"/>
        </w:rPr>
        <w:t xml:space="preserve">spatial attention </w:t>
      </w:r>
      <w:r w:rsidRPr="00D969AA">
        <w:t>to the relevant high-probability location (</w:t>
      </w:r>
      <w:hyperlink w:anchor="ref-duncan2024">
        <w:r w:rsidRPr="00E402F5">
          <w:rPr>
            <w:rStyle w:val="Hipervnculo"/>
          </w:rPr>
          <w:t>Duncan et al., 2024</w:t>
        </w:r>
      </w:hyperlink>
      <w:r w:rsidRPr="00D969AA">
        <w:t xml:space="preserve">; </w:t>
      </w:r>
      <w:hyperlink w:anchor="ref-golan2024">
        <w:r w:rsidRPr="00E402F5">
          <w:rPr>
            <w:rStyle w:val="Hipervnculo"/>
          </w:rPr>
          <w:t>Golan et al., 2024</w:t>
        </w:r>
      </w:hyperlink>
      <w:r w:rsidRPr="00D969AA">
        <w:t xml:space="preserve">), our results suggest that VMAC needs attention to the </w:t>
      </w:r>
      <w:r w:rsidRPr="0070145A">
        <w:rPr>
          <w:color w:val="EE0000"/>
        </w:rPr>
        <w:t xml:space="preserve">specific reward-predictive feature </w:t>
      </w:r>
      <w:r w:rsidRPr="00D969AA">
        <w:t>(</w:t>
      </w:r>
      <w:hyperlink w:anchor="ref-jiménez1999">
        <w:r w:rsidRPr="00E402F5">
          <w:rPr>
            <w:rStyle w:val="Hipervnculo"/>
          </w:rPr>
          <w:t>Jiménez &amp; Méndez, 1999</w:t>
        </w:r>
      </w:hyperlink>
      <w:r w:rsidRPr="00D969AA">
        <w:t xml:space="preserve">). </w:t>
      </w:r>
      <w:r w:rsidRPr="00F47682">
        <w:rPr>
          <w:color w:val="EE0000"/>
        </w:rPr>
        <w:t xml:space="preserve">This might explain potential qualitative differences about the role of awareness and instructions in paradigms where the reward-predictive feature is task-relevant compared to when </w:t>
      </w:r>
      <w:r w:rsidR="00500462" w:rsidRPr="00F47682">
        <w:rPr>
          <w:color w:val="EE0000"/>
        </w:rPr>
        <w:t>it is</w:t>
      </w:r>
      <w:r w:rsidRPr="00F47682">
        <w:rPr>
          <w:color w:val="EE0000"/>
        </w:rPr>
        <w:t xml:space="preserve"> task-irrelevant. Specifically, when distractors are task-irrelevant during learning, awareness of the contingency would promote selective attention to the relevant distractor feature, while in conditions where this feature is task-relevant</w:t>
      </w:r>
      <w:r w:rsidR="00500462" w:rsidRPr="00F47682">
        <w:rPr>
          <w:color w:val="EE0000"/>
        </w:rPr>
        <w:t>,</w:t>
      </w:r>
      <w:r w:rsidRPr="00F47682">
        <w:rPr>
          <w:color w:val="EE0000"/>
        </w:rPr>
        <w:t xml:space="preserve"> the reward-predictive feature would be selectively attended due to task demands, </w:t>
      </w:r>
      <w:r w:rsidR="0030451A">
        <w:t>which</w:t>
      </w:r>
      <w:r w:rsidR="00D969AA">
        <w:t xml:space="preserve"> may</w:t>
      </w:r>
      <w:r>
        <w:t xml:space="preserve"> explain why null findings regarding VMAC and awareness are particularly common when the reward-predictive feature is task-relevant. As suggested by classical theories of automaticity, such as the instance theory (</w:t>
      </w:r>
      <w:hyperlink w:anchor="ref-jamieson2012">
        <w:r>
          <w:rPr>
            <w:rStyle w:val="Hipervnculo"/>
          </w:rPr>
          <w:t>Jamieson et al., 2012</w:t>
        </w:r>
      </w:hyperlink>
      <w:r>
        <w:t xml:space="preserve">, </w:t>
      </w:r>
      <w:hyperlink w:anchor="ref-jamieson2022">
        <w:r>
          <w:rPr>
            <w:rStyle w:val="Hipervnculo"/>
          </w:rPr>
          <w:t>2022</w:t>
        </w:r>
      </w:hyperlink>
      <w:r>
        <w:t xml:space="preserve">; </w:t>
      </w:r>
      <w:hyperlink w:anchor="ref-logan1988a">
        <w:r>
          <w:rPr>
            <w:rStyle w:val="Hipervnculo"/>
          </w:rPr>
          <w:t>Logan, 1988</w:t>
        </w:r>
      </w:hyperlink>
      <w:r>
        <w:t xml:space="preserve">, </w:t>
      </w:r>
      <w:hyperlink w:anchor="ref-logan2002">
        <w:r>
          <w:rPr>
            <w:rStyle w:val="Hipervnculo"/>
          </w:rPr>
          <w:t>2002</w:t>
        </w:r>
      </w:hyperlink>
      <w:r>
        <w:t>), the simplest explanation for this result is that selective attention determines what is learned (</w:t>
      </w:r>
      <w:hyperlink w:anchor="ref-logan1996">
        <w:r>
          <w:rPr>
            <w:rStyle w:val="Hipervnculo"/>
          </w:rPr>
          <w:t>Logan et al., 1996</w:t>
        </w:r>
      </w:hyperlink>
      <w:r>
        <w:t xml:space="preserve">, </w:t>
      </w:r>
      <w:hyperlink w:anchor="ref-logan1999">
        <w:r>
          <w:rPr>
            <w:rStyle w:val="Hipervnculo"/>
          </w:rPr>
          <w:t>1999</w:t>
        </w:r>
      </w:hyperlink>
      <w:r>
        <w:t xml:space="preserve">; </w:t>
      </w:r>
      <w:hyperlink w:anchor="ref-logan1994">
        <w:r>
          <w:rPr>
            <w:rStyle w:val="Hipervnculo"/>
          </w:rPr>
          <w:t>Logan &amp; Etherton, 1994</w:t>
        </w:r>
      </w:hyperlink>
      <w:r>
        <w:t xml:space="preserve">). </w:t>
      </w:r>
      <w:r w:rsidR="004C7CD5" w:rsidRPr="004C7CD5">
        <w:rPr>
          <w:color w:val="EE0000"/>
        </w:rPr>
        <w:t>However, it is also possible that the dual-task demands encouraged participants to actively maintain the reward-predictive feature in working memory, which may be a necessary condition for learning (</w:t>
      </w:r>
      <w:hyperlink w:anchor="ref-carter2003">
        <w:r w:rsidR="004C7CD5" w:rsidRPr="004C7CD5">
          <w:rPr>
            <w:rStyle w:val="Hipervnculo"/>
            <w:color w:val="EE0000"/>
          </w:rPr>
          <w:t>Carter et al., 2003</w:t>
        </w:r>
      </w:hyperlink>
      <w:r w:rsidR="004C7CD5" w:rsidRPr="004C7CD5">
        <w:rPr>
          <w:color w:val="EE0000"/>
        </w:rPr>
        <w:t>). Both interpretations converge in predicting that making the reward-predictive feature task-relevant is sufficient to produce VMAC.</w:t>
      </w:r>
    </w:p>
    <w:p w14:paraId="68716838" w14:textId="247324DD" w:rsidR="009E7B45" w:rsidRDefault="003E3E35">
      <w:pPr>
        <w:pStyle w:val="Textoindependiente"/>
      </w:pPr>
      <w:r>
        <w:rPr>
          <w:rStyle w:val="rev"/>
        </w:rPr>
        <w:t>Interestingly</w:t>
      </w:r>
      <w:r>
        <w:t xml:space="preserve">, we also found that VMAC significantly correlated with awareness, independent of the selective attention manipulation. Based on the previous account, learning should depend not only on selective attention to the reward-predictive feature but also on reward feedback. Thus, contingency awareness could reflect joint attention to both elements. </w:t>
      </w:r>
      <w:r>
        <w:rPr>
          <w:rStyle w:val="rev"/>
        </w:rPr>
        <w:t xml:space="preserve">Still, other mechanisms could explain the relationship between awareness and VMAC. For instance, propositional knowledge might trigger Pavlovian learning through a different mechanism </w:t>
      </w:r>
      <w:r w:rsidRPr="00F47682">
        <w:rPr>
          <w:rStyle w:val="rev"/>
        </w:rPr>
        <w:t>(</w:t>
      </w:r>
      <w:hyperlink w:anchor="ref-dayan2014">
        <w:r w:rsidRPr="00F47682">
          <w:rPr>
            <w:rStyle w:val="Hipervnculo"/>
            <w:color w:val="EE0000"/>
          </w:rPr>
          <w:t xml:space="preserve">Dayan </w:t>
        </w:r>
        <w:r w:rsidRPr="00F47682">
          <w:rPr>
            <w:rStyle w:val="Hipervnculo"/>
            <w:color w:val="EE0000"/>
          </w:rPr>
          <w:lastRenderedPageBreak/>
          <w:t>&amp; Berridge, 2014</w:t>
        </w:r>
      </w:hyperlink>
      <w:r w:rsidRPr="00F47682">
        <w:rPr>
          <w:rStyle w:val="rev"/>
        </w:rPr>
        <w:t xml:space="preserve">; </w:t>
      </w:r>
      <w:hyperlink w:anchor="ref-mitchell2009">
        <w:r w:rsidRPr="00F47682">
          <w:rPr>
            <w:rStyle w:val="Hipervnculo"/>
            <w:color w:val="EE0000"/>
          </w:rPr>
          <w:t>Mitchell et al., 2009</w:t>
        </w:r>
      </w:hyperlink>
      <w:r w:rsidRPr="00F47682">
        <w:rPr>
          <w:rStyle w:val="rev"/>
        </w:rPr>
        <w:t xml:space="preserve">; </w:t>
      </w:r>
      <w:hyperlink w:anchor="ref-pauli2019">
        <w:r w:rsidRPr="00F47682">
          <w:rPr>
            <w:rStyle w:val="Hipervnculo"/>
            <w:color w:val="EE0000"/>
          </w:rPr>
          <w:t>Pauli et al., 2019</w:t>
        </w:r>
      </w:hyperlink>
      <w:r w:rsidRPr="00F47682">
        <w:rPr>
          <w:rStyle w:val="rev"/>
        </w:rPr>
        <w:t>), or knowledge of feature-reward associations might artificially amplify VMAC for reasons unrelated to Pavlovian learning, such as strategically directing attention to the high-value distractor (</w:t>
      </w:r>
      <w:hyperlink w:anchor="ref-doyle2025">
        <w:r w:rsidRPr="00F47682">
          <w:rPr>
            <w:rStyle w:val="Hipervnculo"/>
            <w:color w:val="EE0000"/>
          </w:rPr>
          <w:t>Doyle et al., 2025</w:t>
        </w:r>
      </w:hyperlink>
      <w:r w:rsidRPr="00F47682">
        <w:rPr>
          <w:rStyle w:val="rev"/>
        </w:rPr>
        <w:t xml:space="preserve">; </w:t>
      </w:r>
      <w:hyperlink w:anchor="ref-garre-frutos2025b">
        <w:r w:rsidRPr="00F47682">
          <w:rPr>
            <w:rStyle w:val="Hipervnculo"/>
            <w:color w:val="EE0000"/>
          </w:rPr>
          <w:t>Garre-Frutos, Ariza, et al., 2025</w:t>
        </w:r>
      </w:hyperlink>
      <w:r w:rsidRPr="00F47682">
        <w:rPr>
          <w:rStyle w:val="rev"/>
        </w:rPr>
        <w:t xml:space="preserve">; </w:t>
      </w:r>
      <w:hyperlink w:anchor="ref-gottlieb2014">
        <w:r w:rsidRPr="00F47682">
          <w:rPr>
            <w:rStyle w:val="Hipervnculo"/>
            <w:color w:val="EE0000"/>
          </w:rPr>
          <w:t>Gottlieb et al., 2014</w:t>
        </w:r>
      </w:hyperlink>
      <w:r w:rsidRPr="00F47682">
        <w:rPr>
          <w:rStyle w:val="rev"/>
        </w:rPr>
        <w:t xml:space="preserve">; </w:t>
      </w:r>
      <w:hyperlink w:anchor="ref-mahlberg">
        <w:r w:rsidRPr="00F47682">
          <w:rPr>
            <w:rStyle w:val="Hipervnculo"/>
            <w:color w:val="EE0000"/>
          </w:rPr>
          <w:t>Mahlberg et al., 2025</w:t>
        </w:r>
      </w:hyperlink>
      <w:r w:rsidRPr="00F47682">
        <w:rPr>
          <w:rStyle w:val="rev"/>
        </w:rPr>
        <w:t>). Understanding the specific mechanism linking VMAC to awareness is relevant for assessing both the validity and the practical impact of this bias in psychopathology conditions (</w:t>
      </w:r>
      <w:hyperlink w:anchor="ref-anderson2021">
        <w:r w:rsidRPr="00F47682">
          <w:rPr>
            <w:rStyle w:val="Hipervnculo"/>
            <w:color w:val="EE0000"/>
          </w:rPr>
          <w:t>Anderson et al., 2021</w:t>
        </w:r>
      </w:hyperlink>
      <w:r w:rsidRPr="00F47682">
        <w:rPr>
          <w:rStyle w:val="rev"/>
        </w:rPr>
        <w:t>)</w:t>
      </w:r>
      <w:r>
        <w:t>.</w:t>
      </w:r>
    </w:p>
    <w:p w14:paraId="68716839" w14:textId="77777777" w:rsidR="009E7B45" w:rsidRDefault="003E3E35">
      <w:pPr>
        <w:pStyle w:val="Textoindependiente"/>
      </w:pPr>
      <w:r>
        <w:t>In summary, our study shows that the relationship between attention and VMAC can be mediated by selective attention to the reward-predictive feature, independently of awareness. This finding underscores that VMAC requires selective attention to encode and represent the contingency between features and rewards.</w:t>
      </w:r>
    </w:p>
    <w:p w14:paraId="6871683A" w14:textId="785151C3" w:rsidR="009E7B45" w:rsidRDefault="009205B8">
      <w:pPr>
        <w:pStyle w:val="Ttulo1"/>
      </w:pPr>
      <w:bookmarkStart w:id="19" w:name="constrains-of-generality"/>
      <w:bookmarkEnd w:id="18"/>
      <w:r>
        <w:t>Constraints</w:t>
      </w:r>
      <w:r w:rsidR="003E3E35">
        <w:t xml:space="preserve"> of Generality</w:t>
      </w:r>
    </w:p>
    <w:p w14:paraId="6871683B" w14:textId="77777777" w:rsidR="009E7B45" w:rsidRDefault="003E3E35">
      <w:pPr>
        <w:pStyle w:val="FirstParagraph"/>
      </w:pPr>
      <w:r>
        <w:t>This study was conducted online using a specific experimental paradigm. The findings may not generalize to other paradigms or settings (</w:t>
      </w:r>
      <w:hyperlink w:anchor="ref-anderson2011">
        <w:r>
          <w:rPr>
            <w:rStyle w:val="Hipervnculo"/>
          </w:rPr>
          <w:t>Anderson et al., 2011</w:t>
        </w:r>
      </w:hyperlink>
      <w:r>
        <w:t>).</w:t>
      </w:r>
    </w:p>
    <w:p w14:paraId="6871683C" w14:textId="77777777" w:rsidR="009E7B45" w:rsidRDefault="003E3E35">
      <w:pPr>
        <w:pStyle w:val="Ttulo1"/>
      </w:pPr>
      <w:bookmarkStart w:id="20" w:name="references"/>
      <w:bookmarkEnd w:id="19"/>
      <w:r>
        <w:t>References</w:t>
      </w:r>
    </w:p>
    <w:p w14:paraId="6871683D" w14:textId="77777777" w:rsidR="009E7B45" w:rsidRDefault="003E3E35">
      <w:pPr>
        <w:pStyle w:val="Bibliografa"/>
      </w:pPr>
      <w:bookmarkStart w:id="21" w:name="ref-anderson2015"/>
      <w:bookmarkStart w:id="22" w:name="refs"/>
      <w:r>
        <w:t xml:space="preserve">Anderson, B. A. (2015). Value-driven attentional priority is context specific. </w:t>
      </w:r>
      <w:r>
        <w:rPr>
          <w:i/>
          <w:iCs/>
        </w:rPr>
        <w:t>Psychonomic Bulletin &amp; Review</w:t>
      </w:r>
      <w:r>
        <w:t xml:space="preserve">, </w:t>
      </w:r>
      <w:r>
        <w:rPr>
          <w:i/>
          <w:iCs/>
        </w:rPr>
        <w:t>22</w:t>
      </w:r>
      <w:r>
        <w:t xml:space="preserve">(3), 750–756. </w:t>
      </w:r>
      <w:hyperlink r:id="rId26">
        <w:r>
          <w:rPr>
            <w:rStyle w:val="Hipervnculo"/>
          </w:rPr>
          <w:t>https://doi.org/10.3758/s13423-014-0724-0</w:t>
        </w:r>
      </w:hyperlink>
    </w:p>
    <w:p w14:paraId="6871683E" w14:textId="77777777" w:rsidR="009E7B45" w:rsidRPr="00AC4960" w:rsidRDefault="003E3E35">
      <w:pPr>
        <w:pStyle w:val="Bibliografa"/>
        <w:rPr>
          <w:lang w:val="it-IT"/>
        </w:rPr>
      </w:pPr>
      <w:bookmarkStart w:id="23" w:name="ref-anderson2021"/>
      <w:bookmarkEnd w:id="21"/>
      <w:r>
        <w:t xml:space="preserve">Anderson, B. A., Kim, H., Kim, A. J., Liao, M.-R., Mrkonja, L., Clement, A., &amp; Grégoire, L. (2021). The past, present, and future of selection history. </w:t>
      </w:r>
      <w:r>
        <w:rPr>
          <w:i/>
          <w:iCs/>
        </w:rPr>
        <w:t>Neuroscience &amp; Biobehavioral Reviews</w:t>
      </w:r>
      <w:r>
        <w:t xml:space="preserve">, </w:t>
      </w:r>
      <w:r>
        <w:rPr>
          <w:i/>
          <w:iCs/>
        </w:rPr>
        <w:t>130</w:t>
      </w:r>
      <w:r>
        <w:t xml:space="preserve">, 326–350. </w:t>
      </w:r>
      <w:hyperlink r:id="rId27">
        <w:r w:rsidRPr="00AC4960">
          <w:rPr>
            <w:rStyle w:val="Hipervnculo"/>
            <w:lang w:val="it-IT"/>
          </w:rPr>
          <w:t>https://doi.org/10.1016/j.neubiorev.2021.09.004</w:t>
        </w:r>
      </w:hyperlink>
    </w:p>
    <w:p w14:paraId="6871683F" w14:textId="77777777" w:rsidR="009E7B45" w:rsidRDefault="003E3E35">
      <w:pPr>
        <w:pStyle w:val="Bibliografa"/>
      </w:pPr>
      <w:bookmarkStart w:id="24" w:name="ref-anderson2011"/>
      <w:bookmarkEnd w:id="23"/>
      <w:r w:rsidRPr="00AC4960">
        <w:rPr>
          <w:lang w:val="it-IT"/>
        </w:rPr>
        <w:t xml:space="preserve">Anderson, B. A., Laurent, P. A., &amp; Yantis, S. (2011). </w:t>
      </w:r>
      <w:r>
        <w:t xml:space="preserve">Value-driven attentional capture. </w:t>
      </w:r>
      <w:r>
        <w:rPr>
          <w:i/>
          <w:iCs/>
        </w:rPr>
        <w:t>Proceedings of the National Academy of Sciences</w:t>
      </w:r>
      <w:r>
        <w:t xml:space="preserve">, </w:t>
      </w:r>
      <w:r>
        <w:rPr>
          <w:i/>
          <w:iCs/>
        </w:rPr>
        <w:t>108</w:t>
      </w:r>
      <w:r>
        <w:t xml:space="preserve">(25), 10367–10371. </w:t>
      </w:r>
      <w:hyperlink r:id="rId28">
        <w:r>
          <w:rPr>
            <w:rStyle w:val="Hipervnculo"/>
          </w:rPr>
          <w:t>https://doi.org/10.1073/pnas.1104047108</w:t>
        </w:r>
      </w:hyperlink>
    </w:p>
    <w:p w14:paraId="68716840" w14:textId="77777777" w:rsidR="009E7B45" w:rsidRDefault="003E3E35">
      <w:pPr>
        <w:pStyle w:val="Bibliografa"/>
      </w:pPr>
      <w:bookmarkStart w:id="25" w:name="ref-anderson2013"/>
      <w:bookmarkEnd w:id="24"/>
      <w:r>
        <w:lastRenderedPageBreak/>
        <w:t xml:space="preserve">Anderson, B. A., &amp; Yantis, S. (2013). Persistence of value-driven attentional capture. </w:t>
      </w:r>
      <w:r>
        <w:rPr>
          <w:i/>
          <w:iCs/>
        </w:rPr>
        <w:t>Journal of Experimental Psychology. Human Perception and Performance</w:t>
      </w:r>
      <w:r>
        <w:t xml:space="preserve">, </w:t>
      </w:r>
      <w:r>
        <w:rPr>
          <w:i/>
          <w:iCs/>
        </w:rPr>
        <w:t>39</w:t>
      </w:r>
      <w:r>
        <w:t xml:space="preserve">(1), 6–9. </w:t>
      </w:r>
      <w:hyperlink r:id="rId29">
        <w:r>
          <w:rPr>
            <w:rStyle w:val="Hipervnculo"/>
          </w:rPr>
          <w:t>https://doi.org/10.1037/a0030860</w:t>
        </w:r>
      </w:hyperlink>
    </w:p>
    <w:p w14:paraId="68716841" w14:textId="77777777" w:rsidR="009E7B45" w:rsidRDefault="003E3E35">
      <w:pPr>
        <w:pStyle w:val="Bibliografa"/>
      </w:pPr>
      <w:bookmarkStart w:id="26" w:name="ref-lme4"/>
      <w:bookmarkEnd w:id="2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30">
        <w:r>
          <w:rPr>
            <w:rStyle w:val="Hipervnculo"/>
          </w:rPr>
          <w:t>https://doi.org/10.18637/jss.v067.i01</w:t>
        </w:r>
      </w:hyperlink>
    </w:p>
    <w:p w14:paraId="68716842" w14:textId="77777777" w:rsidR="009E7B45" w:rsidRDefault="003E3E35">
      <w:pPr>
        <w:pStyle w:val="Bibliografa"/>
      </w:pPr>
      <w:bookmarkStart w:id="27" w:name="ref-carter2003"/>
      <w:bookmarkEnd w:id="26"/>
      <w:r>
        <w:t xml:space="preserve">Carter, R. M., Hofstötter, C., Tsuchiya, N., &amp; Koch, C. (2003). Working memory and fear conditioning. </w:t>
      </w:r>
      <w:r>
        <w:rPr>
          <w:i/>
          <w:iCs/>
        </w:rPr>
        <w:t>Proceedings of the National Academy of Sciences</w:t>
      </w:r>
      <w:r>
        <w:t xml:space="preserve">, </w:t>
      </w:r>
      <w:r>
        <w:rPr>
          <w:i/>
          <w:iCs/>
        </w:rPr>
        <w:t>100</w:t>
      </w:r>
      <w:r>
        <w:t xml:space="preserve">(3), 1399–1404. </w:t>
      </w:r>
      <w:hyperlink r:id="rId31">
        <w:r>
          <w:rPr>
            <w:rStyle w:val="Hipervnculo"/>
          </w:rPr>
          <w:t>https://doi.org/10.1073/pnas.0334049100</w:t>
        </w:r>
      </w:hyperlink>
    </w:p>
    <w:p w14:paraId="68716843" w14:textId="77777777" w:rsidR="009E7B45" w:rsidRDefault="003E3E35">
      <w:pPr>
        <w:pStyle w:val="Bibliografa"/>
      </w:pPr>
      <w:bookmarkStart w:id="28" w:name="ref-betareg"/>
      <w:bookmarkEnd w:id="27"/>
      <w:r w:rsidRPr="00DD6373">
        <w:rPr>
          <w:lang w:val="en-US"/>
        </w:rPr>
        <w:t xml:space="preserve">Cribari-Neto, F., &amp; Zeileis, A. (2010). </w:t>
      </w:r>
      <w:r>
        <w:t xml:space="preserve">Beta regression in R. </w:t>
      </w:r>
      <w:r>
        <w:rPr>
          <w:i/>
          <w:iCs/>
        </w:rPr>
        <w:t>Journal of Statistical Software</w:t>
      </w:r>
      <w:r>
        <w:t xml:space="preserve">, </w:t>
      </w:r>
      <w:r>
        <w:rPr>
          <w:i/>
          <w:iCs/>
        </w:rPr>
        <w:t>34</w:t>
      </w:r>
      <w:r>
        <w:t xml:space="preserve">(2), 1–24. </w:t>
      </w:r>
      <w:hyperlink r:id="rId32">
        <w:r>
          <w:rPr>
            <w:rStyle w:val="Hipervnculo"/>
          </w:rPr>
          <w:t>https://doi.org/10.18637/jss.v034.i02</w:t>
        </w:r>
      </w:hyperlink>
    </w:p>
    <w:p w14:paraId="68716844" w14:textId="77777777" w:rsidR="009E7B45" w:rsidRDefault="003E3E35">
      <w:pPr>
        <w:pStyle w:val="Bibliografa"/>
      </w:pPr>
      <w:bookmarkStart w:id="29" w:name="ref-dayan2014"/>
      <w:bookmarkEnd w:id="28"/>
      <w:r>
        <w:t xml:space="preserve">Dayan, P., &amp; Berridge, K. C. (2014). Model-based and model-free Pavlovian reward learning: Revaluation, revision, and revelation. </w:t>
      </w:r>
      <w:r>
        <w:rPr>
          <w:i/>
          <w:iCs/>
        </w:rPr>
        <w:t>Cognitive, Affective, &amp; Behavioral Neuroscience</w:t>
      </w:r>
      <w:r>
        <w:t xml:space="preserve">, </w:t>
      </w:r>
      <w:r>
        <w:rPr>
          <w:i/>
          <w:iCs/>
        </w:rPr>
        <w:t>14</w:t>
      </w:r>
      <w:r>
        <w:t xml:space="preserve">(2), 473–492. </w:t>
      </w:r>
      <w:hyperlink r:id="rId33">
        <w:r>
          <w:rPr>
            <w:rStyle w:val="Hipervnculo"/>
          </w:rPr>
          <w:t>https://doi.org/10.3758/s13415-014-0277-8</w:t>
        </w:r>
      </w:hyperlink>
    </w:p>
    <w:p w14:paraId="68716845" w14:textId="77777777" w:rsidR="009E7B45" w:rsidRDefault="003E3E35">
      <w:pPr>
        <w:pStyle w:val="Bibliografa"/>
      </w:pPr>
      <w:bookmarkStart w:id="30" w:name="ref-doyle2025"/>
      <w:bookmarkEnd w:id="29"/>
      <w:r>
        <w:t xml:space="preserve">Doyle, A., Volkova, K., Crotty, N., Massa, N., &amp; Grubb, M. A. (2025). Information-driven attentional capture. </w:t>
      </w:r>
      <w:r>
        <w:rPr>
          <w:i/>
          <w:iCs/>
        </w:rPr>
        <w:t>Attention, Perception, &amp; Psychophysics</w:t>
      </w:r>
      <w:r>
        <w:t xml:space="preserve">, </w:t>
      </w:r>
      <w:r>
        <w:rPr>
          <w:i/>
          <w:iCs/>
        </w:rPr>
        <w:t>87</w:t>
      </w:r>
      <w:r>
        <w:t xml:space="preserve">(3), 721–727. </w:t>
      </w:r>
      <w:hyperlink r:id="rId34">
        <w:r>
          <w:rPr>
            <w:rStyle w:val="Hipervnculo"/>
          </w:rPr>
          <w:t>https://doi.org/10.3758/s13414-024-03008-z</w:t>
        </w:r>
      </w:hyperlink>
    </w:p>
    <w:p w14:paraId="68716846" w14:textId="77777777" w:rsidR="009E7B45" w:rsidRDefault="003E3E35">
      <w:pPr>
        <w:pStyle w:val="Bibliografa"/>
      </w:pPr>
      <w:bookmarkStart w:id="31" w:name="ref-duncan2024"/>
      <w:bookmarkEnd w:id="30"/>
      <w:r>
        <w:t xml:space="preserve">Duncan, D., Moorselaar, D. van, &amp; Theeuwes, J. (2024). Visual statistical learning requires attention. </w:t>
      </w:r>
      <w:r>
        <w:rPr>
          <w:i/>
          <w:iCs/>
        </w:rPr>
        <w:t>Psychonomic Bulletin &amp; Review</w:t>
      </w:r>
      <w:r>
        <w:t xml:space="preserve">. </w:t>
      </w:r>
      <w:hyperlink r:id="rId35">
        <w:r>
          <w:rPr>
            <w:rStyle w:val="Hipervnculo"/>
          </w:rPr>
          <w:t>https://doi.org/10.3758/s13423-024-02605-1</w:t>
        </w:r>
      </w:hyperlink>
    </w:p>
    <w:p w14:paraId="68716847" w14:textId="77777777" w:rsidR="009E7B45" w:rsidRDefault="003E3E35">
      <w:pPr>
        <w:pStyle w:val="Bibliografa"/>
      </w:pPr>
      <w:bookmarkStart w:id="32" w:name="ref-failing2017"/>
      <w:bookmarkEnd w:id="31"/>
      <w:r>
        <w:t xml:space="preserve">Failing, M., &amp; Theeuwes, J. (2017). Don’t let it distract you: how information about the availability of reward affects attentional selection. </w:t>
      </w:r>
      <w:r>
        <w:rPr>
          <w:i/>
          <w:iCs/>
        </w:rPr>
        <w:t>Attention, Perception, &amp; Psychophysics</w:t>
      </w:r>
      <w:r>
        <w:t xml:space="preserve">, </w:t>
      </w:r>
      <w:r>
        <w:rPr>
          <w:i/>
          <w:iCs/>
        </w:rPr>
        <w:t>79</w:t>
      </w:r>
      <w:r>
        <w:t xml:space="preserve">(8), 2275–2298. </w:t>
      </w:r>
      <w:hyperlink r:id="rId36">
        <w:r>
          <w:rPr>
            <w:rStyle w:val="Hipervnculo"/>
          </w:rPr>
          <w:t>https://doi.org/10.3758/s13414-017-1376-8</w:t>
        </w:r>
      </w:hyperlink>
    </w:p>
    <w:p w14:paraId="68716848" w14:textId="77777777" w:rsidR="009E7B45" w:rsidRDefault="003E3E35">
      <w:pPr>
        <w:pStyle w:val="Bibliografa"/>
      </w:pPr>
      <w:bookmarkStart w:id="33" w:name="ref-failing2018"/>
      <w:bookmarkEnd w:id="32"/>
      <w:r>
        <w:lastRenderedPageBreak/>
        <w:t xml:space="preserve">Failing, M., &amp; Theeuwes, J. (2018). Selection history: How reward modulates selectivity of visual attention. </w:t>
      </w:r>
      <w:r>
        <w:rPr>
          <w:i/>
          <w:iCs/>
        </w:rPr>
        <w:t>Psychonomic Bulletin &amp; Review</w:t>
      </w:r>
      <w:r>
        <w:t xml:space="preserve">, </w:t>
      </w:r>
      <w:r>
        <w:rPr>
          <w:i/>
          <w:iCs/>
        </w:rPr>
        <w:t>25</w:t>
      </w:r>
      <w:r>
        <w:t xml:space="preserve">(2), 514–538. </w:t>
      </w:r>
      <w:hyperlink r:id="rId37">
        <w:r>
          <w:rPr>
            <w:rStyle w:val="Hipervnculo"/>
          </w:rPr>
          <w:t>https://doi.org/10.3758/s13423-017-1380-y</w:t>
        </w:r>
      </w:hyperlink>
    </w:p>
    <w:p w14:paraId="68716849" w14:textId="77777777" w:rsidR="009E7B45" w:rsidRDefault="003E3E35">
      <w:pPr>
        <w:pStyle w:val="Bibliografa"/>
      </w:pPr>
      <w:bookmarkStart w:id="34" w:name="ref-gao2020"/>
      <w:bookmarkEnd w:id="33"/>
      <w:r>
        <w:t xml:space="preserve">Gao, Y., &amp; Theeuwes, J. (2020). Learning to suppress a distractor is not affected by working memory load. </w:t>
      </w:r>
      <w:r>
        <w:rPr>
          <w:i/>
          <w:iCs/>
        </w:rPr>
        <w:t>Psychonomic Bulletin &amp; Review</w:t>
      </w:r>
      <w:r>
        <w:t xml:space="preserve">, </w:t>
      </w:r>
      <w:r>
        <w:rPr>
          <w:i/>
          <w:iCs/>
        </w:rPr>
        <w:t>27</w:t>
      </w:r>
      <w:r>
        <w:t xml:space="preserve">(1), 96–104. </w:t>
      </w:r>
      <w:hyperlink r:id="rId38">
        <w:r>
          <w:rPr>
            <w:rStyle w:val="Hipervnculo"/>
          </w:rPr>
          <w:t>https://doi.org/10.3758/s13423-019-01679-6</w:t>
        </w:r>
      </w:hyperlink>
    </w:p>
    <w:p w14:paraId="6871684A" w14:textId="77777777" w:rsidR="009E7B45" w:rsidRDefault="003E3E35">
      <w:pPr>
        <w:pStyle w:val="Bibliografa"/>
      </w:pPr>
      <w:bookmarkStart w:id="35" w:name="ref-garre-frutos2025b"/>
      <w:bookmarkEnd w:id="34"/>
      <w:r>
        <w:t xml:space="preserve">Garre-Frutos, F., Ariza, A., &amp; González, F. (2025). The effect of reward and punishment on the extinction of attentional capture elicited by value-related stimuli. </w:t>
      </w:r>
      <w:r>
        <w:rPr>
          <w:i/>
          <w:iCs/>
        </w:rPr>
        <w:t>Psychological Research</w:t>
      </w:r>
      <w:r>
        <w:t xml:space="preserve">, </w:t>
      </w:r>
      <w:r>
        <w:rPr>
          <w:i/>
          <w:iCs/>
        </w:rPr>
        <w:t>89</w:t>
      </w:r>
      <w:r>
        <w:t xml:space="preserve">(3), 89. </w:t>
      </w:r>
      <w:hyperlink r:id="rId39">
        <w:r>
          <w:rPr>
            <w:rStyle w:val="Hipervnculo"/>
          </w:rPr>
          <w:t>https://doi.org/10.1007/s00426-025-02115-2</w:t>
        </w:r>
      </w:hyperlink>
    </w:p>
    <w:p w14:paraId="6871684B" w14:textId="77777777" w:rsidR="009E7B45" w:rsidRPr="00DD6373" w:rsidRDefault="003E3E35">
      <w:pPr>
        <w:pStyle w:val="Bibliografa"/>
        <w:rPr>
          <w:lang w:val="en-US"/>
        </w:rPr>
      </w:pPr>
      <w:bookmarkStart w:id="36" w:name="ref-garre-frutos2025a"/>
      <w:bookmarkEnd w:id="35"/>
      <w:r w:rsidRPr="00570827">
        <w:rPr>
          <w:lang w:val="en-US"/>
        </w:rPr>
        <w:t xml:space="preserve">Garre-Frutos, F., </w:t>
      </w:r>
      <w:proofErr w:type="spellStart"/>
      <w:r w:rsidRPr="00570827">
        <w:rPr>
          <w:lang w:val="en-US"/>
        </w:rPr>
        <w:t>Lupiáñez</w:t>
      </w:r>
      <w:proofErr w:type="spellEnd"/>
      <w:r w:rsidRPr="00570827">
        <w:rPr>
          <w:lang w:val="en-US"/>
        </w:rPr>
        <w:t xml:space="preserve">, J., &amp; Vadillo, M. A. (2025). </w:t>
      </w:r>
      <w:r>
        <w:t xml:space="preserve">Value-modulated attentional capture depends on awareness. </w:t>
      </w:r>
      <w:r w:rsidRPr="00DD6373">
        <w:rPr>
          <w:i/>
          <w:iCs/>
          <w:lang w:val="en-US"/>
        </w:rPr>
        <w:t>Psychonomic Bulletin &amp; Review</w:t>
      </w:r>
      <w:r w:rsidRPr="00DD6373">
        <w:rPr>
          <w:lang w:val="en-US"/>
        </w:rPr>
        <w:t xml:space="preserve">. </w:t>
      </w:r>
      <w:hyperlink r:id="rId40">
        <w:r w:rsidRPr="00DD6373">
          <w:rPr>
            <w:rStyle w:val="Hipervnculo"/>
            <w:lang w:val="en-US"/>
          </w:rPr>
          <w:t>https://doi.org/10.3758/s13423-025-02734-1</w:t>
        </w:r>
      </w:hyperlink>
    </w:p>
    <w:p w14:paraId="6871684C" w14:textId="77777777" w:rsidR="009E7B45" w:rsidRDefault="003E3E35">
      <w:pPr>
        <w:pStyle w:val="Bibliografa"/>
      </w:pPr>
      <w:bookmarkStart w:id="37" w:name="ref-garre-frutos2024"/>
      <w:bookmarkEnd w:id="36"/>
      <w:r w:rsidRPr="00DD6373">
        <w:rPr>
          <w:lang w:val="en-US"/>
        </w:rPr>
        <w:t xml:space="preserve">Garre-Frutos, F., Vadillo, M. A., González, F., &amp; Lupiáñez, J. (2024). </w:t>
      </w:r>
      <w:r>
        <w:t xml:space="preserve">On the reliability of value-modulated attentional capture: An online replication and multiverse analysis. </w:t>
      </w:r>
      <w:r>
        <w:rPr>
          <w:i/>
          <w:iCs/>
        </w:rPr>
        <w:t>Behavior Research Methods</w:t>
      </w:r>
      <w:r>
        <w:t xml:space="preserve">. </w:t>
      </w:r>
      <w:hyperlink r:id="rId41">
        <w:r>
          <w:rPr>
            <w:rStyle w:val="Hipervnculo"/>
          </w:rPr>
          <w:t>https://doi.org/10.3758/s13428-023-02329-5</w:t>
        </w:r>
      </w:hyperlink>
    </w:p>
    <w:p w14:paraId="6871684D" w14:textId="77777777" w:rsidR="009E7B45" w:rsidRDefault="003E3E35">
      <w:pPr>
        <w:pStyle w:val="Bibliografa"/>
      </w:pPr>
      <w:bookmarkStart w:id="38" w:name="ref-golan2024"/>
      <w:bookmarkEnd w:id="37"/>
      <w:r>
        <w:t xml:space="preserve">Golan, A., Ramgir, A., &amp; Lamy, D. (2024). What is the role of spatial attention in statistical learning during visual search? </w:t>
      </w:r>
      <w:r>
        <w:rPr>
          <w:i/>
          <w:iCs/>
        </w:rPr>
        <w:t>Journal of Cognition</w:t>
      </w:r>
      <w:r>
        <w:t xml:space="preserve">, </w:t>
      </w:r>
      <w:r>
        <w:rPr>
          <w:i/>
          <w:iCs/>
        </w:rPr>
        <w:t>7</w:t>
      </w:r>
      <w:r>
        <w:t xml:space="preserve">(1), 52. </w:t>
      </w:r>
      <w:hyperlink r:id="rId42">
        <w:r>
          <w:rPr>
            <w:rStyle w:val="Hipervnculo"/>
          </w:rPr>
          <w:t>https://doi.org/10.5334/joc.382</w:t>
        </w:r>
      </w:hyperlink>
    </w:p>
    <w:p w14:paraId="6871684E" w14:textId="77777777" w:rsidR="009E7B45" w:rsidRDefault="003E3E35">
      <w:pPr>
        <w:pStyle w:val="Bibliografa"/>
      </w:pPr>
      <w:bookmarkStart w:id="39" w:name="ref-gottlieb2014"/>
      <w:bookmarkEnd w:id="38"/>
      <w:r>
        <w:t xml:space="preserve">Gottlieb, J., Hayhoe, M., Hikosaka, O., &amp; Rangel, A. (2014). Attention, Reward, and Information Seeking. </w:t>
      </w:r>
      <w:r>
        <w:rPr>
          <w:i/>
          <w:iCs/>
        </w:rPr>
        <w:t>Journal of Neuroscience</w:t>
      </w:r>
      <w:r>
        <w:t xml:space="preserve">, </w:t>
      </w:r>
      <w:r>
        <w:rPr>
          <w:i/>
          <w:iCs/>
        </w:rPr>
        <w:t>34</w:t>
      </w:r>
      <w:r>
        <w:t xml:space="preserve">(46), 15497–15504. </w:t>
      </w:r>
      <w:hyperlink r:id="rId43">
        <w:r>
          <w:rPr>
            <w:rStyle w:val="Hipervnculo"/>
          </w:rPr>
          <w:t>https://doi.org/10.1523/JNEUROSCI.3270-14.2014</w:t>
        </w:r>
      </w:hyperlink>
    </w:p>
    <w:p w14:paraId="6871684F" w14:textId="77777777" w:rsidR="009E7B45" w:rsidRDefault="003E3E35">
      <w:pPr>
        <w:pStyle w:val="Bibliografa"/>
      </w:pPr>
      <w:bookmarkStart w:id="40" w:name="ref-simr"/>
      <w:bookmarkEnd w:id="39"/>
      <w:r>
        <w:lastRenderedPageBreak/>
        <w:t xml:space="preserve">Green, P., &amp; MacLeod, C. J. (2016). Simr: An r package for power analysis of generalised linear mixed models by simulation. </w:t>
      </w:r>
      <w:r>
        <w:rPr>
          <w:i/>
          <w:iCs/>
        </w:rPr>
        <w:t>Methods in Ecology and Evolution</w:t>
      </w:r>
      <w:r>
        <w:t xml:space="preserve">, </w:t>
      </w:r>
      <w:r>
        <w:rPr>
          <w:i/>
          <w:iCs/>
        </w:rPr>
        <w:t>7</w:t>
      </w:r>
      <w:r>
        <w:t xml:space="preserve">(4), 493–498. </w:t>
      </w:r>
      <w:hyperlink r:id="rId44">
        <w:r>
          <w:rPr>
            <w:rStyle w:val="Hipervnculo"/>
          </w:rPr>
          <w:t>https://doi.org/10.1111/2041-210X.12504</w:t>
        </w:r>
      </w:hyperlink>
    </w:p>
    <w:p w14:paraId="68716850" w14:textId="77777777" w:rsidR="009E7B45" w:rsidRDefault="003E3E35">
      <w:pPr>
        <w:pStyle w:val="Bibliografa"/>
      </w:pPr>
      <w:bookmarkStart w:id="41" w:name="ref-grégoire2019"/>
      <w:bookmarkEnd w:id="40"/>
      <w:r>
        <w:t xml:space="preserve">Grégoire, L., &amp; Anderson, B. A. (2019). Semantic generalization of value-based attentional priority. </w:t>
      </w:r>
      <w:r>
        <w:rPr>
          <w:i/>
          <w:iCs/>
        </w:rPr>
        <w:t>Learning &amp; Memory</w:t>
      </w:r>
      <w:r>
        <w:t xml:space="preserve">, </w:t>
      </w:r>
      <w:r>
        <w:rPr>
          <w:i/>
          <w:iCs/>
        </w:rPr>
        <w:t>26</w:t>
      </w:r>
      <w:r>
        <w:t xml:space="preserve">(12), 460–464. </w:t>
      </w:r>
      <w:hyperlink r:id="rId45">
        <w:r>
          <w:rPr>
            <w:rStyle w:val="Hipervnculo"/>
          </w:rPr>
          <w:t>https://doi.org/10.1101/lm.050336.119</w:t>
        </w:r>
      </w:hyperlink>
    </w:p>
    <w:p w14:paraId="68716851" w14:textId="77777777" w:rsidR="009E7B45" w:rsidRDefault="003E3E35">
      <w:pPr>
        <w:pStyle w:val="Bibliografa"/>
      </w:pPr>
      <w:bookmarkStart w:id="42" w:name="ref-jamieson2012"/>
      <w:bookmarkEnd w:id="41"/>
      <w:r>
        <w:t xml:space="preserve">Jamieson, R. K., Crump, M. J. C., &amp; Hannah, S. D. (2012). An instance theory of associative learning. </w:t>
      </w:r>
      <w:r>
        <w:rPr>
          <w:i/>
          <w:iCs/>
        </w:rPr>
        <w:t>Learning &amp; Behavior</w:t>
      </w:r>
      <w:r>
        <w:t xml:space="preserve">, </w:t>
      </w:r>
      <w:r>
        <w:rPr>
          <w:i/>
          <w:iCs/>
        </w:rPr>
        <w:t>40</w:t>
      </w:r>
      <w:r>
        <w:t xml:space="preserve">(1), 61–82. </w:t>
      </w:r>
      <w:hyperlink r:id="rId46">
        <w:r>
          <w:rPr>
            <w:rStyle w:val="Hipervnculo"/>
          </w:rPr>
          <w:t>https://doi.org/10.3758/s13420-011-0046-2</w:t>
        </w:r>
      </w:hyperlink>
    </w:p>
    <w:p w14:paraId="68716852" w14:textId="77777777" w:rsidR="009E7B45" w:rsidRDefault="003E3E35">
      <w:pPr>
        <w:pStyle w:val="Bibliografa"/>
      </w:pPr>
      <w:bookmarkStart w:id="43" w:name="ref-jamieson2022"/>
      <w:bookmarkEnd w:id="42"/>
      <w:r>
        <w:t xml:space="preserve">Jamieson, R. K., Johns, B. T., Vokey, J. R., &amp; Jones, M. N. (2022). Instance theory as a domain-general framework for cognitive psychology. </w:t>
      </w:r>
      <w:r>
        <w:rPr>
          <w:i/>
          <w:iCs/>
        </w:rPr>
        <w:t>Nature Reviews Psychology</w:t>
      </w:r>
      <w:r>
        <w:t xml:space="preserve">, </w:t>
      </w:r>
      <w:r>
        <w:rPr>
          <w:i/>
          <w:iCs/>
        </w:rPr>
        <w:t>1</w:t>
      </w:r>
      <w:r>
        <w:t xml:space="preserve">(3), 174–183. </w:t>
      </w:r>
      <w:hyperlink r:id="rId47">
        <w:r>
          <w:rPr>
            <w:rStyle w:val="Hipervnculo"/>
          </w:rPr>
          <w:t>https://doi.org/10.1038/s44159-022-00025-3</w:t>
        </w:r>
      </w:hyperlink>
    </w:p>
    <w:p w14:paraId="68716853" w14:textId="77777777" w:rsidR="009E7B45" w:rsidRDefault="003E3E35">
      <w:pPr>
        <w:pStyle w:val="Bibliografa"/>
      </w:pPr>
      <w:bookmarkStart w:id="44" w:name="ref-jiang2001"/>
      <w:bookmarkEnd w:id="43"/>
      <w:r>
        <w:t xml:space="preserve">Jiang, Y., &amp; Chun, M. M. (2001). Selective attention modulates implicit learning. </w:t>
      </w:r>
      <w:r>
        <w:rPr>
          <w:i/>
          <w:iCs/>
        </w:rPr>
        <w:t>The Quarterly Journal of Experimental Psychology. A, Human Experimental Psychology</w:t>
      </w:r>
      <w:r>
        <w:t xml:space="preserve">, </w:t>
      </w:r>
      <w:r>
        <w:rPr>
          <w:i/>
          <w:iCs/>
        </w:rPr>
        <w:t>54</w:t>
      </w:r>
      <w:r>
        <w:t xml:space="preserve">(4), 1105–1124. </w:t>
      </w:r>
      <w:hyperlink r:id="rId48">
        <w:r>
          <w:rPr>
            <w:rStyle w:val="Hipervnculo"/>
          </w:rPr>
          <w:t>https://doi.org/10.1080/713756001</w:t>
        </w:r>
      </w:hyperlink>
    </w:p>
    <w:p w14:paraId="68716854" w14:textId="77777777" w:rsidR="009E7B45" w:rsidRDefault="003E3E35">
      <w:pPr>
        <w:pStyle w:val="Bibliografa"/>
      </w:pPr>
      <w:bookmarkStart w:id="45" w:name="ref-jiménez1999"/>
      <w:bookmarkEnd w:id="44"/>
      <w:r>
        <w:t xml:space="preserve">Jiménez, L., &amp; Méndez, C. (1999). Which attention is needed for implicit sequence learning? </w:t>
      </w:r>
      <w:r>
        <w:rPr>
          <w:i/>
          <w:iCs/>
        </w:rPr>
        <w:t>Journal of Experimental Psychology: Learning, Memory, and Cognition</w:t>
      </w:r>
      <w:r>
        <w:t xml:space="preserve">, </w:t>
      </w:r>
      <w:r>
        <w:rPr>
          <w:i/>
          <w:iCs/>
        </w:rPr>
        <w:t>25</w:t>
      </w:r>
      <w:r>
        <w:t xml:space="preserve">(1), 236–259. </w:t>
      </w:r>
      <w:hyperlink r:id="rId49">
        <w:r>
          <w:rPr>
            <w:rStyle w:val="Hipervnculo"/>
          </w:rPr>
          <w:t>https://doi.org/10.1037/0278-7393.25.1.236</w:t>
        </w:r>
      </w:hyperlink>
    </w:p>
    <w:p w14:paraId="68716855" w14:textId="77777777" w:rsidR="009E7B45" w:rsidRDefault="003E3E35">
      <w:pPr>
        <w:pStyle w:val="Bibliografa"/>
      </w:pPr>
      <w:bookmarkStart w:id="46" w:name="ref-karvelis"/>
      <w:bookmarkEnd w:id="45"/>
      <w:r>
        <w:t xml:space="preserve">Karvelis, P., &amp; Diaconescu, A. (2025). </w:t>
      </w:r>
      <w:r>
        <w:rPr>
          <w:i/>
          <w:iCs/>
        </w:rPr>
        <w:t>Clarifying the reliability paradox: Poor test-retest reliability attenuates group differences</w:t>
      </w:r>
      <w:r>
        <w:t xml:space="preserve">. </w:t>
      </w:r>
      <w:hyperlink r:id="rId50">
        <w:r>
          <w:rPr>
            <w:rStyle w:val="Hipervnculo"/>
          </w:rPr>
          <w:t>https://doi.org/10.31234/osf.io/z4yqe</w:t>
        </w:r>
      </w:hyperlink>
    </w:p>
    <w:p w14:paraId="68716856" w14:textId="77777777" w:rsidR="009E7B45" w:rsidRDefault="003E3E35">
      <w:pPr>
        <w:pStyle w:val="Bibliografa"/>
      </w:pPr>
      <w:bookmarkStart w:id="47" w:name="ref-lepelley2016"/>
      <w:bookmarkEnd w:id="46"/>
      <w:r>
        <w:t xml:space="preserve">Le Pelley, M. E., Mitchell, C. J., Beesley, T., George, D. N., &amp; Wills, A. J. (2016). Attention and associative learning in humans: An integrative review. </w:t>
      </w:r>
      <w:r>
        <w:rPr>
          <w:i/>
          <w:iCs/>
        </w:rPr>
        <w:t>Psychological Bulletin</w:t>
      </w:r>
      <w:r>
        <w:t xml:space="preserve">, </w:t>
      </w:r>
      <w:r>
        <w:rPr>
          <w:i/>
          <w:iCs/>
        </w:rPr>
        <w:t>142</w:t>
      </w:r>
      <w:r>
        <w:t xml:space="preserve">(10), 11111140. </w:t>
      </w:r>
      <w:hyperlink r:id="rId51">
        <w:r>
          <w:rPr>
            <w:rStyle w:val="Hipervnculo"/>
          </w:rPr>
          <w:t>https://doi.org/10.1037/bul0000064</w:t>
        </w:r>
      </w:hyperlink>
    </w:p>
    <w:p w14:paraId="68716857" w14:textId="77777777" w:rsidR="009E7B45" w:rsidRDefault="003E3E35">
      <w:pPr>
        <w:pStyle w:val="Bibliografa"/>
      </w:pPr>
      <w:bookmarkStart w:id="48" w:name="ref-lepelley2015"/>
      <w:bookmarkEnd w:id="47"/>
      <w:r>
        <w:t xml:space="preserve">Le Pelley, M. E., Pearson, D., Griffiths, O., &amp; Beesley, T. (2015). When Goals Conflict With Values: Counterproductive Attentional and Oculomotor Capture by Reward-Related </w:t>
      </w:r>
      <w:r>
        <w:lastRenderedPageBreak/>
        <w:t xml:space="preserve">Stimuli. </w:t>
      </w:r>
      <w:r>
        <w:rPr>
          <w:i/>
          <w:iCs/>
        </w:rPr>
        <w:t>Journal of Experimental Psychology: General</w:t>
      </w:r>
      <w:r>
        <w:t xml:space="preserve">, </w:t>
      </w:r>
      <w:r>
        <w:rPr>
          <w:i/>
          <w:iCs/>
        </w:rPr>
        <w:t>144</w:t>
      </w:r>
      <w:r>
        <w:t>, 158–171. https://doi.org/</w:t>
      </w:r>
      <w:hyperlink r:id="rId52">
        <w:r>
          <w:rPr>
            <w:rStyle w:val="Hipervnculo"/>
          </w:rPr>
          <w:t>http://dx.doi.org/10.1037/xge0000037</w:t>
        </w:r>
      </w:hyperlink>
    </w:p>
    <w:p w14:paraId="68716858" w14:textId="77777777" w:rsidR="009E7B45" w:rsidRDefault="003E3E35">
      <w:pPr>
        <w:pStyle w:val="Bibliografa"/>
      </w:pPr>
      <w:bookmarkStart w:id="49" w:name="ref-lepelley2017"/>
      <w:bookmarkEnd w:id="48"/>
      <w:r>
        <w:t xml:space="preserve">Le Pelley, M. E., Seabrooke, T., Kennedy, B. L., Pearson, D., &amp; Most, S. B. (2017). Miss it and miss out: Counterproductive nonspatial attentional capture by task-irrelevant, value-related stimuli. </w:t>
      </w:r>
      <w:r>
        <w:rPr>
          <w:i/>
          <w:iCs/>
        </w:rPr>
        <w:t>Attention, Perception, &amp; Psychophysics</w:t>
      </w:r>
      <w:r>
        <w:t xml:space="preserve">, </w:t>
      </w:r>
      <w:r>
        <w:rPr>
          <w:i/>
          <w:iCs/>
        </w:rPr>
        <w:t>79</w:t>
      </w:r>
      <w:r>
        <w:t xml:space="preserve">(6), 1628–1642. </w:t>
      </w:r>
      <w:hyperlink r:id="rId53">
        <w:r>
          <w:rPr>
            <w:rStyle w:val="Hipervnculo"/>
          </w:rPr>
          <w:t>https://doi.org/10.3758/s13414-017-1346-1</w:t>
        </w:r>
      </w:hyperlink>
    </w:p>
    <w:p w14:paraId="68716859" w14:textId="77777777" w:rsidR="009E7B45" w:rsidRDefault="003E3E35">
      <w:pPr>
        <w:pStyle w:val="Bibliografa"/>
      </w:pPr>
      <w:bookmarkStart w:id="50" w:name="ref-logan1988a"/>
      <w:bookmarkEnd w:id="49"/>
      <w:r>
        <w:t xml:space="preserve">Logan, G. D. (1988). Toward an instance theory of automatization. </w:t>
      </w:r>
      <w:r>
        <w:rPr>
          <w:i/>
          <w:iCs/>
        </w:rPr>
        <w:t>Psychological Review</w:t>
      </w:r>
      <w:r>
        <w:t xml:space="preserve">, </w:t>
      </w:r>
      <w:r>
        <w:rPr>
          <w:i/>
          <w:iCs/>
        </w:rPr>
        <w:t>95</w:t>
      </w:r>
      <w:r>
        <w:t xml:space="preserve">(4), 492–527. </w:t>
      </w:r>
      <w:hyperlink r:id="rId54">
        <w:r>
          <w:rPr>
            <w:rStyle w:val="Hipervnculo"/>
          </w:rPr>
          <w:t>https://doi.org/10.1037/0033-295X.95.4.492</w:t>
        </w:r>
      </w:hyperlink>
    </w:p>
    <w:p w14:paraId="6871685A" w14:textId="77777777" w:rsidR="009E7B45" w:rsidRDefault="003E3E35">
      <w:pPr>
        <w:pStyle w:val="Bibliografa"/>
      </w:pPr>
      <w:bookmarkStart w:id="51" w:name="ref-logan2002"/>
      <w:bookmarkEnd w:id="50"/>
      <w:r>
        <w:t xml:space="preserve">Logan, G. D. (2002). An instance theory of attention and memory. </w:t>
      </w:r>
      <w:r>
        <w:rPr>
          <w:i/>
          <w:iCs/>
        </w:rPr>
        <w:t>Psychological Review</w:t>
      </w:r>
      <w:r>
        <w:t xml:space="preserve">, </w:t>
      </w:r>
      <w:r>
        <w:rPr>
          <w:i/>
          <w:iCs/>
        </w:rPr>
        <w:t>109</w:t>
      </w:r>
      <w:r>
        <w:t xml:space="preserve">(2), 376–400. </w:t>
      </w:r>
      <w:hyperlink r:id="rId55">
        <w:r>
          <w:rPr>
            <w:rStyle w:val="Hipervnculo"/>
          </w:rPr>
          <w:t>https://doi.org/10.1037/0033-295X.109.2.376</w:t>
        </w:r>
      </w:hyperlink>
    </w:p>
    <w:p w14:paraId="6871685B" w14:textId="77777777" w:rsidR="009E7B45" w:rsidRDefault="003E3E35">
      <w:pPr>
        <w:pStyle w:val="Bibliografa"/>
      </w:pPr>
      <w:bookmarkStart w:id="52" w:name="ref-logan1994"/>
      <w:bookmarkEnd w:id="51"/>
      <w:r>
        <w:t xml:space="preserve">Logan, G. D., &amp; Etherton, J. L. (1994). "What is learned during automatization? The role of attention in constructing an instance": Correction to logan and etherton. </w:t>
      </w:r>
      <w:r>
        <w:rPr>
          <w:i/>
          <w:iCs/>
        </w:rPr>
        <w:t>Journal of Experimental Psychology: Learning, Memory, and Cognition</w:t>
      </w:r>
      <w:r>
        <w:t xml:space="preserve">, </w:t>
      </w:r>
      <w:r>
        <w:rPr>
          <w:i/>
          <w:iCs/>
        </w:rPr>
        <w:t>20</w:t>
      </w:r>
      <w:r>
        <w:t xml:space="preserve">(6), 1390–1390. </w:t>
      </w:r>
      <w:hyperlink r:id="rId56">
        <w:r>
          <w:rPr>
            <w:rStyle w:val="Hipervnculo"/>
          </w:rPr>
          <w:t>https://doi.org/10.1037/h0090354</w:t>
        </w:r>
      </w:hyperlink>
    </w:p>
    <w:p w14:paraId="6871685C" w14:textId="77777777" w:rsidR="009E7B45" w:rsidRDefault="003E3E35">
      <w:pPr>
        <w:pStyle w:val="Bibliografa"/>
      </w:pPr>
      <w:bookmarkStart w:id="53" w:name="ref-logan1996"/>
      <w:bookmarkEnd w:id="52"/>
      <w:r>
        <w:t xml:space="preserve">Logan, G. D., Taylor, S. E., &amp; Etherton, J. L. (1996). Attention in the acquisition and expression of automaticity. </w:t>
      </w:r>
      <w:r>
        <w:rPr>
          <w:i/>
          <w:iCs/>
        </w:rPr>
        <w:t>Journal of Experimental Psychology: Learning, Memory, and Cognition</w:t>
      </w:r>
      <w:r>
        <w:t xml:space="preserve">, </w:t>
      </w:r>
      <w:r>
        <w:rPr>
          <w:i/>
          <w:iCs/>
        </w:rPr>
        <w:t>22</w:t>
      </w:r>
      <w:r>
        <w:t xml:space="preserve">(3), 620–638. </w:t>
      </w:r>
      <w:hyperlink r:id="rId57">
        <w:r>
          <w:rPr>
            <w:rStyle w:val="Hipervnculo"/>
          </w:rPr>
          <w:t>https://doi.org/10.1037/0278-7393.22.3.620</w:t>
        </w:r>
      </w:hyperlink>
    </w:p>
    <w:p w14:paraId="6871685D" w14:textId="77777777" w:rsidR="009E7B45" w:rsidRDefault="003E3E35">
      <w:pPr>
        <w:pStyle w:val="Bibliografa"/>
      </w:pPr>
      <w:bookmarkStart w:id="54" w:name="ref-logan1999"/>
      <w:bookmarkEnd w:id="53"/>
      <w:r>
        <w:t xml:space="preserve">Logan, G. D., Taylor, S. E., &amp; Etherton, J. L. (1999). Attention and automaticity: Toward a theoretical integration. </w:t>
      </w:r>
      <w:r>
        <w:rPr>
          <w:i/>
          <w:iCs/>
        </w:rPr>
        <w:t>Psychological Research</w:t>
      </w:r>
      <w:r>
        <w:t xml:space="preserve">, </w:t>
      </w:r>
      <w:r>
        <w:rPr>
          <w:i/>
          <w:iCs/>
        </w:rPr>
        <w:t>62</w:t>
      </w:r>
      <w:r>
        <w:t xml:space="preserve">(2), 165–181. </w:t>
      </w:r>
      <w:hyperlink r:id="rId58">
        <w:r>
          <w:rPr>
            <w:rStyle w:val="Hipervnculo"/>
          </w:rPr>
          <w:t>https://doi.org/10.1007/s004260050049</w:t>
        </w:r>
      </w:hyperlink>
    </w:p>
    <w:p w14:paraId="6871685E" w14:textId="77777777" w:rsidR="009E7B45" w:rsidRDefault="003E3E35">
      <w:pPr>
        <w:pStyle w:val="Bibliografa"/>
      </w:pPr>
      <w:bookmarkStart w:id="55" w:name="ref-lovibond2011"/>
      <w:bookmarkEnd w:id="54"/>
      <w:r>
        <w:t xml:space="preserve">Lovibond, P. F., Liu, J. C. J., Weidemann, G., &amp; Mitchell, C. J. (2011). Awareness is necessary for differential trace and delay eyeblink conditioning in humans. </w:t>
      </w:r>
      <w:r>
        <w:rPr>
          <w:i/>
          <w:iCs/>
        </w:rPr>
        <w:t>Biological Psychology</w:t>
      </w:r>
      <w:r>
        <w:t xml:space="preserve">, </w:t>
      </w:r>
      <w:r>
        <w:rPr>
          <w:i/>
          <w:iCs/>
        </w:rPr>
        <w:t>87</w:t>
      </w:r>
      <w:r>
        <w:t xml:space="preserve">(3), 393–400. </w:t>
      </w:r>
      <w:hyperlink r:id="rId59">
        <w:r>
          <w:rPr>
            <w:rStyle w:val="Hipervnculo"/>
          </w:rPr>
          <w:t>https://doi.org/10.1016/j.biopsycho.2011.05.002</w:t>
        </w:r>
      </w:hyperlink>
    </w:p>
    <w:p w14:paraId="6871685F" w14:textId="77777777" w:rsidR="009E7B45" w:rsidRDefault="003E3E35">
      <w:pPr>
        <w:pStyle w:val="Bibliografa"/>
      </w:pPr>
      <w:bookmarkStart w:id="56" w:name="ref-lovibond2002"/>
      <w:bookmarkEnd w:id="55"/>
      <w:r>
        <w:lastRenderedPageBreak/>
        <w:t xml:space="preserve">Lovibond, P. F., &amp; Shanks, D. R. (2002). The role of awareness in pavlovian conditioning: Empirical evidence and theoretical implications. </w:t>
      </w:r>
      <w:r>
        <w:rPr>
          <w:i/>
          <w:iCs/>
        </w:rPr>
        <w:t>Journal of Experimental Psychology: Animal Behavior Processes</w:t>
      </w:r>
      <w:r>
        <w:t xml:space="preserve">, </w:t>
      </w:r>
      <w:r>
        <w:rPr>
          <w:i/>
          <w:iCs/>
        </w:rPr>
        <w:t>28</w:t>
      </w:r>
      <w:r>
        <w:t xml:space="preserve">(1), 3–26. </w:t>
      </w:r>
      <w:hyperlink r:id="rId60">
        <w:r>
          <w:rPr>
            <w:rStyle w:val="Hipervnculo"/>
          </w:rPr>
          <w:t>https://doi.org/10.1037/0097-7403.28.1.3</w:t>
        </w:r>
      </w:hyperlink>
    </w:p>
    <w:p w14:paraId="68716860" w14:textId="77777777" w:rsidR="009E7B45" w:rsidRDefault="003E3E35">
      <w:pPr>
        <w:pStyle w:val="Bibliografa"/>
      </w:pPr>
      <w:bookmarkStart w:id="57" w:name="ref-mahlberg"/>
      <w:bookmarkEnd w:id="56"/>
      <w:r>
        <w:t xml:space="preserve">Mahlberg, J., Pearson, D., Le Pelley, M. E., &amp; Watson, P. (2025). Prospective distractor information reduces reward-related attentional capture. </w:t>
      </w:r>
      <w:r>
        <w:rPr>
          <w:i/>
          <w:iCs/>
        </w:rPr>
        <w:t>Journal of Cognition</w:t>
      </w:r>
      <w:r>
        <w:t xml:space="preserve">, </w:t>
      </w:r>
      <w:r>
        <w:rPr>
          <w:i/>
          <w:iCs/>
        </w:rPr>
        <w:t>7</w:t>
      </w:r>
      <w:r>
        <w:t xml:space="preserve">(1), 50. </w:t>
      </w:r>
      <w:hyperlink r:id="rId61">
        <w:r>
          <w:rPr>
            <w:rStyle w:val="Hipervnculo"/>
          </w:rPr>
          <w:t>https://doi.org/10.5334/joc.375</w:t>
        </w:r>
      </w:hyperlink>
    </w:p>
    <w:p w14:paraId="68716861" w14:textId="77777777" w:rsidR="009E7B45" w:rsidRDefault="003E3E35">
      <w:pPr>
        <w:pStyle w:val="Bibliografa"/>
      </w:pPr>
      <w:bookmarkStart w:id="58" w:name="ref-mertens2020"/>
      <w:bookmarkEnd w:id="57"/>
      <w:r>
        <w:t xml:space="preserve">Mertens, G., &amp; Engelhard, I. M. (2020). A systematic review and meta-analysis of the evidence for unaware fear conditioning. </w:t>
      </w:r>
      <w:r>
        <w:rPr>
          <w:i/>
          <w:iCs/>
        </w:rPr>
        <w:t>Neuroscience &amp; Biobehavioral Reviews</w:t>
      </w:r>
      <w:r>
        <w:t xml:space="preserve">, </w:t>
      </w:r>
      <w:r>
        <w:rPr>
          <w:i/>
          <w:iCs/>
        </w:rPr>
        <w:t>108</w:t>
      </w:r>
      <w:r>
        <w:t xml:space="preserve">, 254–268. </w:t>
      </w:r>
      <w:hyperlink r:id="rId62">
        <w:r>
          <w:rPr>
            <w:rStyle w:val="Hipervnculo"/>
          </w:rPr>
          <w:t>https://doi.org/10.1016/j.neubiorev.2019.11.012</w:t>
        </w:r>
      </w:hyperlink>
    </w:p>
    <w:p w14:paraId="68716862" w14:textId="77777777" w:rsidR="009E7B45" w:rsidRDefault="003E3E35">
      <w:pPr>
        <w:pStyle w:val="Bibliografa"/>
      </w:pPr>
      <w:bookmarkStart w:id="59" w:name="ref-mertens2016"/>
      <w:bookmarkEnd w:id="58"/>
      <w:r>
        <w:t xml:space="preserve">Mertens, G., Raes, A. K., &amp; De Houwer, J. (2016). Can prepared fear conditioning result from verbal instructions? </w:t>
      </w:r>
      <w:r>
        <w:rPr>
          <w:i/>
          <w:iCs/>
        </w:rPr>
        <w:t>Learning and Motivation</w:t>
      </w:r>
      <w:r>
        <w:t xml:space="preserve">, </w:t>
      </w:r>
      <w:r>
        <w:rPr>
          <w:i/>
          <w:iCs/>
        </w:rPr>
        <w:t>53</w:t>
      </w:r>
      <w:r>
        <w:t xml:space="preserve">, 7–23. </w:t>
      </w:r>
      <w:hyperlink r:id="rId63">
        <w:r>
          <w:rPr>
            <w:rStyle w:val="Hipervnculo"/>
          </w:rPr>
          <w:t>https://doi.org/10.1016/j.lmot.2015.11.001</w:t>
        </w:r>
      </w:hyperlink>
    </w:p>
    <w:p w14:paraId="68716863" w14:textId="77777777" w:rsidR="009E7B45" w:rsidRDefault="003E3E35">
      <w:pPr>
        <w:pStyle w:val="Bibliografa"/>
      </w:pPr>
      <w:bookmarkStart w:id="60" w:name="ref-meyer2020"/>
      <w:bookmarkEnd w:id="59"/>
      <w:r>
        <w:t xml:space="preserve">Meyer, K. N., Sheridan, M. A., &amp; Hopfinger, J. B. (2020). Reward history impacts attentional orienting and inhibitory control on untrained tasks. </w:t>
      </w:r>
      <w:r>
        <w:rPr>
          <w:i/>
          <w:iCs/>
        </w:rPr>
        <w:t>Attention, Perception, &amp; Psychophysics</w:t>
      </w:r>
      <w:r>
        <w:t xml:space="preserve">, </w:t>
      </w:r>
      <w:r>
        <w:rPr>
          <w:i/>
          <w:iCs/>
        </w:rPr>
        <w:t>82</w:t>
      </w:r>
      <w:r>
        <w:t xml:space="preserve">(8), 3842–3862. </w:t>
      </w:r>
      <w:hyperlink r:id="rId64">
        <w:r>
          <w:rPr>
            <w:rStyle w:val="Hipervnculo"/>
          </w:rPr>
          <w:t>https://doi.org/10.3758/s13414-020-02130-y</w:t>
        </w:r>
      </w:hyperlink>
    </w:p>
    <w:p w14:paraId="68716864" w14:textId="77777777" w:rsidR="009E7B45" w:rsidRDefault="003E3E35">
      <w:pPr>
        <w:pStyle w:val="Bibliografa"/>
      </w:pPr>
      <w:bookmarkStart w:id="61" w:name="ref-mitchell2009"/>
      <w:bookmarkEnd w:id="60"/>
      <w:r>
        <w:t xml:space="preserve">Mitchell, C. J., Houwer, J. D., &amp; Lovibond, P. F. (2009). The propositional nature of human associative learning. </w:t>
      </w:r>
      <w:r>
        <w:rPr>
          <w:i/>
          <w:iCs/>
        </w:rPr>
        <w:t>Behavioral and Brain Sciences</w:t>
      </w:r>
      <w:r>
        <w:t xml:space="preserve">, </w:t>
      </w:r>
      <w:r>
        <w:rPr>
          <w:i/>
          <w:iCs/>
        </w:rPr>
        <w:t>32</w:t>
      </w:r>
      <w:r>
        <w:t xml:space="preserve">(2), 183–198. </w:t>
      </w:r>
      <w:hyperlink r:id="rId65">
        <w:r>
          <w:rPr>
            <w:rStyle w:val="Hipervnculo"/>
          </w:rPr>
          <w:t>https://doi.org/10.1017/S0140525X09000855</w:t>
        </w:r>
      </w:hyperlink>
    </w:p>
    <w:p w14:paraId="68716865" w14:textId="77777777" w:rsidR="009E7B45" w:rsidRDefault="003E3E35">
      <w:pPr>
        <w:pStyle w:val="Bibliografa"/>
      </w:pPr>
      <w:bookmarkStart w:id="62" w:name="ref-morey2008"/>
      <w:bookmarkEnd w:id="61"/>
      <w:r>
        <w:t xml:space="preserve">Morey, R. D. (2008). Confidence intervals from normalized data: A correction to cousineau (2005). </w:t>
      </w:r>
      <w:r>
        <w:rPr>
          <w:i/>
          <w:iCs/>
        </w:rPr>
        <w:t>Tutorials in Quantitative Methods for Psychology</w:t>
      </w:r>
      <w:r>
        <w:t xml:space="preserve">, </w:t>
      </w:r>
      <w:r>
        <w:rPr>
          <w:i/>
          <w:iCs/>
        </w:rPr>
        <w:t>4</w:t>
      </w:r>
      <w:r>
        <w:t>(2), 61–64.</w:t>
      </w:r>
    </w:p>
    <w:p w14:paraId="68716866" w14:textId="77777777" w:rsidR="009E7B45" w:rsidRDefault="003E3E35">
      <w:pPr>
        <w:pStyle w:val="Bibliografa"/>
      </w:pPr>
      <w:bookmarkStart w:id="63" w:name="ref-parsons2018"/>
      <w:bookmarkEnd w:id="62"/>
      <w:r>
        <w:t xml:space="preserve">Parsons, S. (2018). </w:t>
      </w:r>
      <w:r>
        <w:rPr>
          <w:i/>
          <w:iCs/>
        </w:rPr>
        <w:t>Visualising two approaches to explore reliability-power relationships</w:t>
      </w:r>
      <w:r>
        <w:t xml:space="preserve">. PsyArXiv. </w:t>
      </w:r>
      <w:hyperlink r:id="rId66">
        <w:r>
          <w:rPr>
            <w:rStyle w:val="Hipervnculo"/>
          </w:rPr>
          <w:t>https://doi.org/10.31234/osf.io/qh5mf</w:t>
        </w:r>
      </w:hyperlink>
    </w:p>
    <w:p w14:paraId="68716867" w14:textId="77777777" w:rsidR="009E7B45" w:rsidRDefault="003E3E35">
      <w:pPr>
        <w:pStyle w:val="Bibliografa"/>
      </w:pPr>
      <w:bookmarkStart w:id="64" w:name="ref-pauli2019"/>
      <w:bookmarkEnd w:id="63"/>
      <w:r>
        <w:lastRenderedPageBreak/>
        <w:t xml:space="preserve">Pauli, W. M., Gentile, G., Collette, S., Tyszka, J. M., &amp; O’Doherty, J. P. (2019). Evidence for model-based encoding of Pavlovian contingencies in the human brain. </w:t>
      </w:r>
      <w:r>
        <w:rPr>
          <w:i/>
          <w:iCs/>
        </w:rPr>
        <w:t>Nature Communications</w:t>
      </w:r>
      <w:r>
        <w:t xml:space="preserve">, </w:t>
      </w:r>
      <w:r>
        <w:rPr>
          <w:i/>
          <w:iCs/>
        </w:rPr>
        <w:t>10</w:t>
      </w:r>
      <w:r>
        <w:t xml:space="preserve">(1), 1099. </w:t>
      </w:r>
      <w:hyperlink r:id="rId67">
        <w:r>
          <w:rPr>
            <w:rStyle w:val="Hipervnculo"/>
          </w:rPr>
          <w:t>https://doi.org/10.1038/s41467-019-08922-7</w:t>
        </w:r>
      </w:hyperlink>
    </w:p>
    <w:p w14:paraId="68716868" w14:textId="77777777" w:rsidR="009E7B45" w:rsidRDefault="003E3E35">
      <w:pPr>
        <w:pStyle w:val="Bibliografa"/>
      </w:pPr>
      <w:bookmarkStart w:id="65" w:name="ref-pearson2016"/>
      <w:bookmarkEnd w:id="64"/>
      <w:r>
        <w:t xml:space="preserve">Pearson, D., Osborn, R., Whitford, T. J., Failing, M., Theeuwes, J., &amp; Le Pelley, M. E. (2016). Value-modulated oculomotor capture by task-irrelevant stimuli is a consequence of early competition on the saccade map. </w:t>
      </w:r>
      <w:r>
        <w:rPr>
          <w:i/>
          <w:iCs/>
        </w:rPr>
        <w:t>Attention, Perception, &amp; Psychophysics</w:t>
      </w:r>
      <w:r>
        <w:t xml:space="preserve">, </w:t>
      </w:r>
      <w:r>
        <w:rPr>
          <w:i/>
          <w:iCs/>
        </w:rPr>
        <w:t>78</w:t>
      </w:r>
      <w:r>
        <w:t xml:space="preserve">(7), 2226–2240. </w:t>
      </w:r>
      <w:hyperlink r:id="rId68">
        <w:r>
          <w:rPr>
            <w:rStyle w:val="Hipervnculo"/>
          </w:rPr>
          <w:t>https://doi.org/10.3758/s13414-016-1135-2</w:t>
        </w:r>
      </w:hyperlink>
    </w:p>
    <w:p w14:paraId="68716869" w14:textId="77777777" w:rsidR="009E7B45" w:rsidRDefault="003E3E35">
      <w:pPr>
        <w:pStyle w:val="Bibliografa"/>
      </w:pPr>
      <w:bookmarkStart w:id="66" w:name="ref-r_ref"/>
      <w:bookmarkEnd w:id="65"/>
      <w:r>
        <w:t xml:space="preserve">R Core Team. (2023). </w:t>
      </w:r>
      <w:r>
        <w:rPr>
          <w:i/>
          <w:iCs/>
        </w:rPr>
        <w:t>R: A language and environment for statistical computing</w:t>
      </w:r>
      <w:r>
        <w:t xml:space="preserve">. R Foundation for Statistical Computing. </w:t>
      </w:r>
      <w:hyperlink r:id="rId69">
        <w:r>
          <w:rPr>
            <w:rStyle w:val="Hipervnculo"/>
          </w:rPr>
          <w:t>https://www.R-project.org/</w:t>
        </w:r>
      </w:hyperlink>
    </w:p>
    <w:p w14:paraId="6871686A" w14:textId="77777777" w:rsidR="009E7B45" w:rsidRDefault="003E3E35">
      <w:pPr>
        <w:pStyle w:val="Bibliografa"/>
      </w:pPr>
      <w:bookmarkStart w:id="67" w:name="ref-Reips2008"/>
      <w:bookmarkEnd w:id="66"/>
      <w:r>
        <w:t xml:space="preserve">Reips, U.-D., &amp; Funke, F. (2008). Interval-level measurement with visual analogue scales in internet-based research: VAS generator. </w:t>
      </w:r>
      <w:r>
        <w:rPr>
          <w:i/>
          <w:iCs/>
        </w:rPr>
        <w:t>Behavior Research Methods</w:t>
      </w:r>
      <w:r>
        <w:t xml:space="preserve">, </w:t>
      </w:r>
      <w:r>
        <w:rPr>
          <w:i/>
          <w:iCs/>
        </w:rPr>
        <w:t>40</w:t>
      </w:r>
      <w:r>
        <w:t xml:space="preserve">(3), 699–704. </w:t>
      </w:r>
      <w:hyperlink r:id="rId70">
        <w:r>
          <w:rPr>
            <w:rStyle w:val="Hipervnculo"/>
          </w:rPr>
          <w:t>https://doi.org/10.3758/BRM.40.3.699</w:t>
        </w:r>
      </w:hyperlink>
    </w:p>
    <w:p w14:paraId="6871686B" w14:textId="77777777" w:rsidR="009E7B45" w:rsidRDefault="003E3E35">
      <w:pPr>
        <w:pStyle w:val="Bibliografa"/>
      </w:pPr>
      <w:bookmarkStart w:id="68" w:name="ref-rusz2020"/>
      <w:bookmarkEnd w:id="67"/>
      <w:r>
        <w:t xml:space="preserve">Rusz, D., Le Pelley, M. E., Kompier, M. A. J., Mait, L., &amp; Bijleveld, E. (2020). Reward-driven distraction: A meta-analysis. </w:t>
      </w:r>
      <w:r>
        <w:rPr>
          <w:i/>
          <w:iCs/>
        </w:rPr>
        <w:t>Psychological Bulletin</w:t>
      </w:r>
      <w:r>
        <w:t xml:space="preserve">, </w:t>
      </w:r>
      <w:r>
        <w:rPr>
          <w:i/>
          <w:iCs/>
        </w:rPr>
        <w:t>146</w:t>
      </w:r>
      <w:r>
        <w:t xml:space="preserve">(10), 872—899. </w:t>
      </w:r>
      <w:hyperlink r:id="rId71">
        <w:r>
          <w:rPr>
            <w:rStyle w:val="Hipervnculo"/>
          </w:rPr>
          <w:t>https://doi.org/10.1037/bul0000296</w:t>
        </w:r>
      </w:hyperlink>
    </w:p>
    <w:p w14:paraId="6871686C" w14:textId="77777777" w:rsidR="009E7B45" w:rsidRDefault="003E3E35">
      <w:pPr>
        <w:pStyle w:val="Bibliografa"/>
      </w:pPr>
      <w:bookmarkStart w:id="69" w:name="ref-smithson2006"/>
      <w:bookmarkEnd w:id="68"/>
      <w:r>
        <w:t xml:space="preserve">Smithson, M., &amp; Verkuilen, J. (2006). A better lemon squeezer? Maximum-likelihood regression with beta-distributed dependent variables. </w:t>
      </w:r>
      <w:r>
        <w:rPr>
          <w:i/>
          <w:iCs/>
        </w:rPr>
        <w:t>Psychological Methods</w:t>
      </w:r>
      <w:r>
        <w:t xml:space="preserve">, </w:t>
      </w:r>
      <w:r>
        <w:rPr>
          <w:i/>
          <w:iCs/>
        </w:rPr>
        <w:t>11</w:t>
      </w:r>
      <w:r>
        <w:t xml:space="preserve">(1), 54–71. </w:t>
      </w:r>
      <w:hyperlink r:id="rId72">
        <w:r>
          <w:rPr>
            <w:rStyle w:val="Hipervnculo"/>
          </w:rPr>
          <w:t>https://doi.org/10.1037/1082-989X.11.1.54</w:t>
        </w:r>
      </w:hyperlink>
    </w:p>
    <w:p w14:paraId="6871686D" w14:textId="77777777" w:rsidR="009E7B45" w:rsidRDefault="003E3E35">
      <w:pPr>
        <w:pStyle w:val="Bibliografa"/>
      </w:pPr>
      <w:bookmarkStart w:id="70" w:name="ref-theeuwes1992"/>
      <w:bookmarkEnd w:id="69"/>
      <w:r>
        <w:t xml:space="preserve">Theeuwes, J. (1992). Perceptual selectivity for color and form. </w:t>
      </w:r>
      <w:r>
        <w:rPr>
          <w:i/>
          <w:iCs/>
        </w:rPr>
        <w:t>Perception &amp; Psychophysics</w:t>
      </w:r>
      <w:r>
        <w:t xml:space="preserve">, </w:t>
      </w:r>
      <w:r>
        <w:rPr>
          <w:i/>
          <w:iCs/>
        </w:rPr>
        <w:t>51</w:t>
      </w:r>
      <w:r>
        <w:t xml:space="preserve">(6), 599–606. </w:t>
      </w:r>
      <w:hyperlink r:id="rId73">
        <w:r>
          <w:rPr>
            <w:rStyle w:val="Hipervnculo"/>
          </w:rPr>
          <w:t>https://doi.org/10.3758/BF03211656</w:t>
        </w:r>
      </w:hyperlink>
    </w:p>
    <w:p w14:paraId="6871686E" w14:textId="77777777" w:rsidR="009E7B45" w:rsidRDefault="003E3E35">
      <w:pPr>
        <w:pStyle w:val="Bibliografa"/>
      </w:pPr>
      <w:bookmarkStart w:id="71" w:name="ref-theeuwes1994"/>
      <w:bookmarkEnd w:id="70"/>
      <w:r>
        <w:t xml:space="preserve">Theeuwes, J. (1994). Stimulus-driven capture and attentional set: Selective search for color and visual abrupt onsets. </w:t>
      </w:r>
      <w:r>
        <w:rPr>
          <w:i/>
          <w:iCs/>
        </w:rPr>
        <w:t>Journal of Experimental Psychology: Human Perception and Performance</w:t>
      </w:r>
      <w:r>
        <w:t xml:space="preserve">, </w:t>
      </w:r>
      <w:r>
        <w:rPr>
          <w:i/>
          <w:iCs/>
        </w:rPr>
        <w:t>20</w:t>
      </w:r>
      <w:r>
        <w:t xml:space="preserve">(4), 799–806. </w:t>
      </w:r>
      <w:hyperlink r:id="rId74">
        <w:r>
          <w:rPr>
            <w:rStyle w:val="Hipervnculo"/>
          </w:rPr>
          <w:t>https://doi.org/10.1037/0096-1523.20.4.799</w:t>
        </w:r>
      </w:hyperlink>
    </w:p>
    <w:p w14:paraId="6871686F" w14:textId="77777777" w:rsidR="009E7B45" w:rsidRDefault="003E3E35">
      <w:pPr>
        <w:pStyle w:val="Bibliografa"/>
      </w:pPr>
      <w:bookmarkStart w:id="72" w:name="ref-theeuwes2012"/>
      <w:bookmarkEnd w:id="71"/>
      <w:r>
        <w:lastRenderedPageBreak/>
        <w:t xml:space="preserve">Theeuwes, J., &amp; Belopolsky, A. V. (2012). Reward grabs the eye: Oculomotor capture by rewarding stimuli. </w:t>
      </w:r>
      <w:r>
        <w:rPr>
          <w:i/>
          <w:iCs/>
        </w:rPr>
        <w:t>Vision Research</w:t>
      </w:r>
      <w:r>
        <w:t xml:space="preserve">, </w:t>
      </w:r>
      <w:r>
        <w:rPr>
          <w:i/>
          <w:iCs/>
        </w:rPr>
        <w:t>74</w:t>
      </w:r>
      <w:r>
        <w:t xml:space="preserve">, 80–85. </w:t>
      </w:r>
      <w:hyperlink r:id="rId75">
        <w:r>
          <w:rPr>
            <w:rStyle w:val="Hipervnculo"/>
          </w:rPr>
          <w:t>https://doi.org/10.1016/j.visres.2012.07.024</w:t>
        </w:r>
      </w:hyperlink>
    </w:p>
    <w:p w14:paraId="68716870" w14:textId="77777777" w:rsidR="009E7B45" w:rsidRDefault="003E3E35">
      <w:pPr>
        <w:pStyle w:val="Bibliografa"/>
      </w:pPr>
      <w:bookmarkStart w:id="73" w:name="ref-vadillo2024"/>
      <w:bookmarkEnd w:id="72"/>
      <w:r>
        <w:t xml:space="preserve">Vadillo, M. A., Aniento, P., Hernández-Gutiérrez, D., Saini, L., &amp; Aivar, M. P. (2024). Measuring learning and attention to irrelevant distractors in contextual cueing. </w:t>
      </w:r>
      <w:r>
        <w:rPr>
          <w:i/>
          <w:iCs/>
        </w:rPr>
        <w:t>Journal of Experimental Psychology: Human Perception and Performance</w:t>
      </w:r>
      <w:r>
        <w:t xml:space="preserve">, </w:t>
      </w:r>
      <w:r>
        <w:rPr>
          <w:i/>
          <w:iCs/>
        </w:rPr>
        <w:t>50</w:t>
      </w:r>
      <w:r>
        <w:t xml:space="preserve">(9), 952–970. </w:t>
      </w:r>
      <w:hyperlink r:id="rId76">
        <w:r>
          <w:rPr>
            <w:rStyle w:val="Hipervnculo"/>
          </w:rPr>
          <w:t>https://doi.org/10.1037/xhp0001230</w:t>
        </w:r>
      </w:hyperlink>
    </w:p>
    <w:p w14:paraId="68716871" w14:textId="77777777" w:rsidR="009E7B45" w:rsidRDefault="003E3E35">
      <w:pPr>
        <w:pStyle w:val="Bibliografa"/>
      </w:pPr>
      <w:bookmarkStart w:id="74" w:name="ref-vadillo2020"/>
      <w:bookmarkEnd w:id="73"/>
      <w:r w:rsidRPr="00AC4960">
        <w:rPr>
          <w:lang w:val="es-ES"/>
        </w:rPr>
        <w:t xml:space="preserve">Vadillo, M. A., Giménez-Fernández, T., Aivar, M. P., &amp; Cubillas, C. P. (2020). </w:t>
      </w:r>
      <w:r>
        <w:t xml:space="preserve">Ignored visual context does not induce latent learning. </w:t>
      </w:r>
      <w:r>
        <w:rPr>
          <w:i/>
          <w:iCs/>
        </w:rPr>
        <w:t>Psychonomic Bulletin &amp; Review</w:t>
      </w:r>
      <w:r>
        <w:t xml:space="preserve">, </w:t>
      </w:r>
      <w:r>
        <w:rPr>
          <w:i/>
          <w:iCs/>
        </w:rPr>
        <w:t>27</w:t>
      </w:r>
      <w:r>
        <w:t xml:space="preserve">(3), 512–519. </w:t>
      </w:r>
      <w:hyperlink r:id="rId77">
        <w:r>
          <w:rPr>
            <w:rStyle w:val="Hipervnculo"/>
          </w:rPr>
          <w:t>https://doi.org/10.3758/s13423-020-01722-x</w:t>
        </w:r>
      </w:hyperlink>
    </w:p>
    <w:p w14:paraId="68716872" w14:textId="77777777" w:rsidR="009E7B45" w:rsidRDefault="003E3E35">
      <w:pPr>
        <w:pStyle w:val="Bibliografa"/>
      </w:pPr>
      <w:bookmarkStart w:id="75" w:name="ref-wang2018"/>
      <w:bookmarkEnd w:id="74"/>
      <w:r>
        <w:t xml:space="preserve">Wang, B., &amp; Theeuwes, J. (2018). Statistical regularities modulate attentional capture. </w:t>
      </w:r>
      <w:r>
        <w:rPr>
          <w:i/>
          <w:iCs/>
        </w:rPr>
        <w:t>Journal of Experimental Psychology: Human Perception and Performance</w:t>
      </w:r>
      <w:r>
        <w:t xml:space="preserve">, </w:t>
      </w:r>
      <w:r>
        <w:rPr>
          <w:i/>
          <w:iCs/>
        </w:rPr>
        <w:t>44</w:t>
      </w:r>
      <w:r>
        <w:t xml:space="preserve">(1), 13–17. </w:t>
      </w:r>
      <w:hyperlink r:id="rId78">
        <w:r>
          <w:rPr>
            <w:rStyle w:val="Hipervnculo"/>
          </w:rPr>
          <w:t>https://doi.org/10.1037/xhp0000472</w:t>
        </w:r>
      </w:hyperlink>
    </w:p>
    <w:p w14:paraId="68716873" w14:textId="77777777" w:rsidR="009E7B45" w:rsidRDefault="003E3E35">
      <w:pPr>
        <w:pStyle w:val="Bibliografa"/>
      </w:pPr>
      <w:bookmarkStart w:id="76" w:name="ref-weidemann2016"/>
      <w:bookmarkEnd w:id="75"/>
      <w:r>
        <w:t xml:space="preserve">Weidemann, G., Satkunarajah, M., &amp; Lovibond, P. F. (2016). I Think, Therefore Eyeblink: The Importance of Contingency Awareness in Conditioning. </w:t>
      </w:r>
      <w:r>
        <w:rPr>
          <w:i/>
          <w:iCs/>
        </w:rPr>
        <w:t>Psychological Science</w:t>
      </w:r>
      <w:r>
        <w:t xml:space="preserve">, </w:t>
      </w:r>
      <w:r>
        <w:rPr>
          <w:i/>
          <w:iCs/>
        </w:rPr>
        <w:t>27</w:t>
      </w:r>
      <w:r>
        <w:t xml:space="preserve">(4), 467–475. </w:t>
      </w:r>
      <w:hyperlink r:id="rId79">
        <w:r>
          <w:rPr>
            <w:rStyle w:val="Hipervnculo"/>
          </w:rPr>
          <w:t>https://doi.org/10.1177/0956797615625973</w:t>
        </w:r>
      </w:hyperlink>
    </w:p>
    <w:p w14:paraId="68716874" w14:textId="77777777" w:rsidR="009E7B45" w:rsidRDefault="003E3E35">
      <w:pPr>
        <w:pStyle w:val="Bibliografa"/>
      </w:pPr>
      <w:bookmarkStart w:id="77" w:name="ref-tidyverse"/>
      <w:bookmarkEnd w:id="76"/>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80">
        <w:r>
          <w:rPr>
            <w:rStyle w:val="Hipervnculo"/>
          </w:rPr>
          <w:t>https://doi.org/10.21105/joss.01686</w:t>
        </w:r>
      </w:hyperlink>
    </w:p>
    <w:p w14:paraId="68716875" w14:textId="77777777" w:rsidR="009E7B45" w:rsidRDefault="003E3E35">
      <w:pPr>
        <w:pStyle w:val="Bibliografa"/>
      </w:pPr>
      <w:bookmarkStart w:id="78" w:name="ref-wiernik2020"/>
      <w:bookmarkEnd w:id="77"/>
      <w:r>
        <w:lastRenderedPageBreak/>
        <w:t xml:space="preserve">Wiernik, B. M., &amp; Dahlke, J. A. (2020). Obtaining unbiased results in meta-analysis: The importance of correcting for statistical artifacts. </w:t>
      </w:r>
      <w:r>
        <w:rPr>
          <w:i/>
          <w:iCs/>
        </w:rPr>
        <w:t>Advances in Methods and Practices in Psychological Science</w:t>
      </w:r>
      <w:r>
        <w:t xml:space="preserve">, </w:t>
      </w:r>
      <w:r>
        <w:rPr>
          <w:i/>
          <w:iCs/>
        </w:rPr>
        <w:t>3</w:t>
      </w:r>
      <w:r>
        <w:t xml:space="preserve">(1), 94–123. </w:t>
      </w:r>
      <w:hyperlink r:id="rId81">
        <w:r>
          <w:rPr>
            <w:rStyle w:val="Hipervnculo"/>
          </w:rPr>
          <w:t>https://doi.org/10.1177/2515245919885611</w:t>
        </w:r>
      </w:hyperlink>
    </w:p>
    <w:p w14:paraId="3F60E425" w14:textId="77777777" w:rsidR="00D546A1" w:rsidRDefault="00D546A1">
      <w:pPr>
        <w:pStyle w:val="Bibliografa"/>
      </w:pPr>
    </w:p>
    <w:p w14:paraId="7350234B" w14:textId="5BB2E730" w:rsidR="00D546A1" w:rsidRDefault="00D546A1" w:rsidP="009205B8">
      <w:pPr>
        <w:spacing w:after="200" w:line="240" w:lineRule="auto"/>
      </w:pPr>
    </w:p>
    <w:p w14:paraId="5C06054B" w14:textId="77777777" w:rsidR="00945101" w:rsidRDefault="00945101" w:rsidP="009205B8">
      <w:pPr>
        <w:spacing w:after="200" w:line="240" w:lineRule="auto"/>
      </w:pPr>
    </w:p>
    <w:p w14:paraId="0ADA3D60" w14:textId="77777777" w:rsidR="00945101" w:rsidRDefault="00945101" w:rsidP="009205B8">
      <w:pPr>
        <w:spacing w:after="200" w:line="240" w:lineRule="auto"/>
      </w:pPr>
    </w:p>
    <w:p w14:paraId="524097EA" w14:textId="77777777" w:rsidR="00945101" w:rsidRDefault="00945101" w:rsidP="009205B8">
      <w:pPr>
        <w:spacing w:after="200" w:line="240" w:lineRule="auto"/>
      </w:pPr>
    </w:p>
    <w:p w14:paraId="122D3DFC" w14:textId="77777777" w:rsidR="00945101" w:rsidRDefault="00945101" w:rsidP="009205B8">
      <w:pPr>
        <w:spacing w:after="200" w:line="240" w:lineRule="auto"/>
      </w:pPr>
    </w:p>
    <w:p w14:paraId="1C1F0E77" w14:textId="77777777" w:rsidR="00945101" w:rsidRDefault="00945101" w:rsidP="009205B8">
      <w:pPr>
        <w:spacing w:after="200" w:line="240" w:lineRule="auto"/>
      </w:pPr>
    </w:p>
    <w:p w14:paraId="3167D5BA" w14:textId="77777777" w:rsidR="00945101" w:rsidRDefault="00945101" w:rsidP="009205B8">
      <w:pPr>
        <w:spacing w:after="200" w:line="240" w:lineRule="auto"/>
      </w:pPr>
    </w:p>
    <w:p w14:paraId="41195AFC" w14:textId="77777777" w:rsidR="00945101" w:rsidRDefault="00945101" w:rsidP="009205B8">
      <w:pPr>
        <w:spacing w:after="200" w:line="240" w:lineRule="auto"/>
      </w:pPr>
    </w:p>
    <w:p w14:paraId="756C93AA" w14:textId="77777777" w:rsidR="00945101" w:rsidRDefault="00945101" w:rsidP="009205B8">
      <w:pPr>
        <w:spacing w:after="200" w:line="240" w:lineRule="auto"/>
      </w:pPr>
    </w:p>
    <w:p w14:paraId="796E931F" w14:textId="77777777" w:rsidR="00945101" w:rsidRDefault="00945101" w:rsidP="009205B8">
      <w:pPr>
        <w:spacing w:after="200" w:line="240" w:lineRule="auto"/>
      </w:pPr>
    </w:p>
    <w:p w14:paraId="62D81915" w14:textId="77777777" w:rsidR="00945101" w:rsidRDefault="00945101" w:rsidP="009205B8">
      <w:pPr>
        <w:spacing w:after="200" w:line="240" w:lineRule="auto"/>
      </w:pPr>
    </w:p>
    <w:p w14:paraId="0FCE6A53" w14:textId="77777777" w:rsidR="00945101" w:rsidRDefault="00945101" w:rsidP="009205B8">
      <w:pPr>
        <w:spacing w:after="200" w:line="240" w:lineRule="auto"/>
      </w:pPr>
    </w:p>
    <w:p w14:paraId="4526014A" w14:textId="77777777" w:rsidR="00945101" w:rsidRDefault="00945101" w:rsidP="009205B8">
      <w:pPr>
        <w:spacing w:after="200" w:line="240" w:lineRule="auto"/>
      </w:pPr>
    </w:p>
    <w:p w14:paraId="404533F9" w14:textId="77777777" w:rsidR="00945101" w:rsidRDefault="00945101" w:rsidP="009205B8">
      <w:pPr>
        <w:spacing w:after="200" w:line="240" w:lineRule="auto"/>
      </w:pPr>
    </w:p>
    <w:p w14:paraId="30832368" w14:textId="77777777" w:rsidR="00945101" w:rsidRDefault="00945101" w:rsidP="009205B8">
      <w:pPr>
        <w:spacing w:after="200" w:line="240" w:lineRule="auto"/>
      </w:pPr>
    </w:p>
    <w:p w14:paraId="26C793C6" w14:textId="77777777" w:rsidR="00945101" w:rsidRDefault="00945101" w:rsidP="009205B8">
      <w:pPr>
        <w:spacing w:after="200" w:line="240" w:lineRule="auto"/>
      </w:pPr>
    </w:p>
    <w:p w14:paraId="101DA7BF" w14:textId="77777777" w:rsidR="00945101" w:rsidRDefault="00945101" w:rsidP="009205B8">
      <w:pPr>
        <w:spacing w:after="200" w:line="240" w:lineRule="auto"/>
      </w:pPr>
    </w:p>
    <w:bookmarkEnd w:id="20"/>
    <w:bookmarkEnd w:id="22"/>
    <w:bookmarkEnd w:id="78"/>
    <w:p w14:paraId="01153411" w14:textId="77777777" w:rsidR="002D77E7" w:rsidRPr="002F2337" w:rsidRDefault="002D77E7" w:rsidP="002D77E7">
      <w:pPr>
        <w:pStyle w:val="Textoindependiente"/>
        <w:ind w:firstLine="0"/>
        <w:rPr>
          <w:color w:val="EE0000"/>
        </w:rPr>
      </w:pPr>
    </w:p>
    <w:sectPr w:rsidR="002D77E7" w:rsidRPr="002F2337">
      <w:headerReference w:type="default" r:id="rId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3121F" w14:textId="77777777" w:rsidR="00193359" w:rsidRDefault="00193359">
      <w:pPr>
        <w:spacing w:line="240" w:lineRule="auto"/>
      </w:pPr>
      <w:r>
        <w:separator/>
      </w:r>
    </w:p>
  </w:endnote>
  <w:endnote w:type="continuationSeparator" w:id="0">
    <w:p w14:paraId="6D0A2AC9" w14:textId="77777777" w:rsidR="00193359" w:rsidRDefault="00193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E24C3" w14:textId="77777777" w:rsidR="00193359" w:rsidRDefault="00193359">
      <w:pPr>
        <w:spacing w:line="240" w:lineRule="auto"/>
      </w:pPr>
      <w:r>
        <w:separator/>
      </w:r>
    </w:p>
  </w:footnote>
  <w:footnote w:type="continuationSeparator" w:id="0">
    <w:p w14:paraId="252BC142" w14:textId="77777777" w:rsidR="00193359" w:rsidRDefault="00193359">
      <w:pPr>
        <w:spacing w:line="240" w:lineRule="auto"/>
      </w:pPr>
      <w:r>
        <w:continuationSeparator/>
      </w:r>
    </w:p>
  </w:footnote>
  <w:footnote w:id="1">
    <w:p w14:paraId="687168A0" w14:textId="0273EA4F" w:rsidR="009E7B45" w:rsidRDefault="003E3E35">
      <w:pPr>
        <w:pStyle w:val="Textonotapie"/>
      </w:pPr>
      <w:r>
        <w:rPr>
          <w:rStyle w:val="Refdenotaalpie"/>
        </w:rPr>
        <w:footnoteRef/>
      </w:r>
      <w:r>
        <w:t xml:space="preserve"> </w:t>
      </w:r>
      <w:r w:rsidR="00491E82">
        <w:t>Packages</w:t>
      </w:r>
      <w:r>
        <w:t xml:space="preserve">: </w:t>
      </w:r>
      <w:r>
        <w:rPr>
          <w:i/>
          <w:iCs/>
        </w:rPr>
        <w:t>lme4</w:t>
      </w:r>
      <w:r>
        <w:t xml:space="preserve"> (</w:t>
      </w:r>
      <w:hyperlink w:anchor="ref-lme4">
        <w:r>
          <w:rPr>
            <w:rStyle w:val="Hipervnculo"/>
          </w:rPr>
          <w:t>Bates et al., 2015</w:t>
        </w:r>
      </w:hyperlink>
      <w:r>
        <w:t xml:space="preserve">), </w:t>
      </w:r>
      <w:r>
        <w:rPr>
          <w:i/>
          <w:iCs/>
        </w:rPr>
        <w:t>betareg</w:t>
      </w:r>
      <w:r>
        <w:t xml:space="preserve"> (</w:t>
      </w:r>
      <w:hyperlink w:anchor="ref-betareg">
        <w:r>
          <w:rPr>
            <w:rStyle w:val="Hipervnculo"/>
          </w:rPr>
          <w:t>Cribari-Neto &amp; Zeileis, 2010</w:t>
        </w:r>
      </w:hyperlink>
      <w:r>
        <w:t xml:space="preserve">) and </w:t>
      </w:r>
      <w:r>
        <w:rPr>
          <w:i/>
          <w:iCs/>
        </w:rPr>
        <w:t>tidyverse</w:t>
      </w:r>
      <w:r>
        <w:t xml:space="preserve"> (</w:t>
      </w:r>
      <w:hyperlink w:anchor="ref-tidyverse">
        <w:r>
          <w:rPr>
            <w:rStyle w:val="Hipervnculo"/>
          </w:rPr>
          <w:t>Wickham et al., 2019</w:t>
        </w:r>
      </w:hyperlink>
      <w:r>
        <w:t>).</w:t>
      </w:r>
    </w:p>
  </w:footnote>
  <w:footnote w:id="2">
    <w:p w14:paraId="687168A2" w14:textId="6C0D6680" w:rsidR="009E7B45" w:rsidRDefault="003E3E35">
      <w:pPr>
        <w:pStyle w:val="Textonotapie"/>
      </w:pPr>
      <w:r>
        <w:rPr>
          <w:rStyle w:val="Refdenotaalpie"/>
        </w:rPr>
        <w:footnoteRef/>
      </w:r>
      <w:r>
        <w:t xml:space="preserve"> As preregistered, we estimated the split-half reliability of the VMAC effect (</w:t>
      </w:r>
      <w:hyperlink w:anchor="ref-garre-frutos2024">
        <w:r>
          <w:rPr>
            <w:rStyle w:val="Hipervnculo"/>
          </w:rPr>
          <w:t>Garre-Frutos et al., 2024</w:t>
        </w:r>
      </w:hyperlink>
      <w:r>
        <w:t>), which was low (</w:t>
      </w:r>
      <m:oMath>
        <m:sSub>
          <m:sSubPr>
            <m:ctrlPr>
              <w:rPr>
                <w:rFonts w:ascii="Cambria Math" w:hAnsi="Cambria Math"/>
              </w:rPr>
            </m:ctrlPr>
          </m:sSubPr>
          <m:e>
            <m:r>
              <w:rPr>
                <w:rFonts w:ascii="Cambria Math" w:hAnsi="Cambria Math"/>
              </w:rPr>
              <m:t>r</m:t>
            </m:r>
          </m:e>
          <m:sub>
            <m:r>
              <m:rPr>
                <m:nor/>
              </m:rPr>
              <m:t>sb</m:t>
            </m:r>
          </m:sub>
        </m:sSub>
        <m:r>
          <m:rPr>
            <m:sty m:val="p"/>
          </m:rPr>
          <w:rPr>
            <w:rFonts w:ascii="Cambria Math" w:hAnsi="Cambria Math"/>
          </w:rPr>
          <m:t>=</m:t>
        </m:r>
        <m:r>
          <w:rPr>
            <w:rFonts w:ascii="Cambria Math" w:hAnsi="Cambria Math"/>
          </w:rPr>
          <m:t>0.28</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m:t>
        </m:r>
        <m:r>
          <m:rPr>
            <m:nor/>
          </m:rPr>
          <m:t>CI</m:t>
        </m:r>
        <m:d>
          <m:dPr>
            <m:begChr m:val="["/>
            <m:endChr m:val="]"/>
            <m:ctrlPr>
              <w:rPr>
                <w:rFonts w:ascii="Cambria Math" w:hAnsi="Cambria Math"/>
              </w:rPr>
            </m:ctrlPr>
          </m:dPr>
          <m:e>
            <m:r>
              <w:rPr>
                <w:rFonts w:ascii="Cambria Math" w:hAnsi="Cambria Math"/>
              </w:rPr>
              <m:t>0.08</m:t>
            </m:r>
            <m:r>
              <m:rPr>
                <m:sty m:val="p"/>
              </m:rPr>
              <w:rPr>
                <w:rFonts w:ascii="Cambria Math" w:hAnsi="Cambria Math"/>
              </w:rPr>
              <m:t>,</m:t>
            </m:r>
            <m:r>
              <w:rPr>
                <w:rFonts w:ascii="Cambria Math" w:hAnsi="Cambria Math"/>
              </w:rPr>
              <m:t>0.44</m:t>
            </m:r>
          </m:e>
        </m:d>
      </m:oMath>
      <w:r>
        <w:t xml:space="preserve">), </w:t>
      </w:r>
      <w:r w:rsidRPr="00D546A1">
        <w:rPr>
          <w:color w:val="EE0000"/>
        </w:rPr>
        <w:t xml:space="preserve">suggesting </w:t>
      </w:r>
      <w:r w:rsidR="000A5CC8" w:rsidRPr="00D546A1">
        <w:rPr>
          <w:color w:val="EE0000"/>
        </w:rPr>
        <w:t xml:space="preserve">that </w:t>
      </w:r>
      <w:r w:rsidR="000257CB" w:rsidRPr="00D546A1">
        <w:rPr>
          <w:color w:val="EE0000"/>
        </w:rPr>
        <w:t>between-groups</w:t>
      </w:r>
      <w:r w:rsidR="000A5CC8" w:rsidRPr="00D546A1">
        <w:rPr>
          <w:color w:val="EE0000"/>
        </w:rPr>
        <w:t xml:space="preserve"> </w:t>
      </w:r>
      <w:r w:rsidR="005E008C" w:rsidRPr="00D546A1">
        <w:rPr>
          <w:color w:val="EE0000"/>
        </w:rPr>
        <w:t xml:space="preserve">differences </w:t>
      </w:r>
      <w:r w:rsidR="000A5CC8" w:rsidRPr="00D546A1">
        <w:rPr>
          <w:color w:val="EE0000"/>
        </w:rPr>
        <w:t>are possibly attenuated by measurement error</w:t>
      </w:r>
      <w:r>
        <w:t xml:space="preserve"> (</w:t>
      </w:r>
      <w:hyperlink w:anchor="ref-karvelis">
        <w:r>
          <w:rPr>
            <w:rStyle w:val="Hipervnculo"/>
          </w:rPr>
          <w:t>Karvelis &amp; Diaconescu, 2025</w:t>
        </w:r>
      </w:hyperlink>
      <w:r>
        <w:t xml:space="preserve">; </w:t>
      </w:r>
      <w:hyperlink w:anchor="ref-wiernik2020">
        <w:r>
          <w:rPr>
            <w:rStyle w:val="Hipervnculo"/>
          </w:rPr>
          <w:t>Wiernik &amp; Dahlke, 2020</w:t>
        </w:r>
      </w:hyperlink>
      <w:r>
        <w:t xml:space="preserve">; but see </w:t>
      </w:r>
      <w:hyperlink w:anchor="ref-parsons2018">
        <w:r>
          <w:rPr>
            <w:rStyle w:val="Hipervnculo"/>
          </w:rPr>
          <w:t>Parsons, 2018</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9" w:name="_Hlk204544604"/>
  <w:p w14:paraId="6871689A" w14:textId="35063072"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0D2A36">
          <w:t>THE ROLE OF SELECTIVE ATTENTION IN VMAC</w:t>
        </w:r>
      </w:sdtContent>
    </w:sdt>
    <w:bookmarkEnd w:id="79"/>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6871689B" w14:textId="77777777" w:rsidR="00340B9E" w:rsidRDefault="00340B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B0CC3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4346369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11D87"/>
    <w:rsid w:val="000257CB"/>
    <w:rsid w:val="000262D9"/>
    <w:rsid w:val="00027A1F"/>
    <w:rsid w:val="00041AF0"/>
    <w:rsid w:val="00055F4D"/>
    <w:rsid w:val="00060379"/>
    <w:rsid w:val="00064E3B"/>
    <w:rsid w:val="0006539A"/>
    <w:rsid w:val="00065938"/>
    <w:rsid w:val="00077AB1"/>
    <w:rsid w:val="00090864"/>
    <w:rsid w:val="000918E8"/>
    <w:rsid w:val="000A5836"/>
    <w:rsid w:val="000A5B95"/>
    <w:rsid w:val="000A5CC8"/>
    <w:rsid w:val="000D23CF"/>
    <w:rsid w:val="000D2A36"/>
    <w:rsid w:val="000D5C95"/>
    <w:rsid w:val="000F42B6"/>
    <w:rsid w:val="00101C59"/>
    <w:rsid w:val="00102C76"/>
    <w:rsid w:val="00112984"/>
    <w:rsid w:val="00113134"/>
    <w:rsid w:val="00114821"/>
    <w:rsid w:val="00116C4D"/>
    <w:rsid w:val="00126683"/>
    <w:rsid w:val="00131198"/>
    <w:rsid w:val="00166C4F"/>
    <w:rsid w:val="0017682D"/>
    <w:rsid w:val="0018117E"/>
    <w:rsid w:val="00184809"/>
    <w:rsid w:val="00184EF4"/>
    <w:rsid w:val="00193359"/>
    <w:rsid w:val="001A1FBC"/>
    <w:rsid w:val="001A345B"/>
    <w:rsid w:val="001A51F4"/>
    <w:rsid w:val="001B0FEA"/>
    <w:rsid w:val="001B27CE"/>
    <w:rsid w:val="001B6A8D"/>
    <w:rsid w:val="001B75BC"/>
    <w:rsid w:val="001C3A9E"/>
    <w:rsid w:val="001E466D"/>
    <w:rsid w:val="001F1CB0"/>
    <w:rsid w:val="0020726D"/>
    <w:rsid w:val="00216260"/>
    <w:rsid w:val="002239CF"/>
    <w:rsid w:val="00225010"/>
    <w:rsid w:val="00232B45"/>
    <w:rsid w:val="002432D4"/>
    <w:rsid w:val="00250BD5"/>
    <w:rsid w:val="00251EDB"/>
    <w:rsid w:val="00261BE8"/>
    <w:rsid w:val="0027048E"/>
    <w:rsid w:val="002723E0"/>
    <w:rsid w:val="0027518C"/>
    <w:rsid w:val="002A768D"/>
    <w:rsid w:val="002B1D3B"/>
    <w:rsid w:val="002B6632"/>
    <w:rsid w:val="002C3B74"/>
    <w:rsid w:val="002C5DF2"/>
    <w:rsid w:val="002D37CC"/>
    <w:rsid w:val="002D77E7"/>
    <w:rsid w:val="002F2337"/>
    <w:rsid w:val="00303CCD"/>
    <w:rsid w:val="0030451A"/>
    <w:rsid w:val="0030567B"/>
    <w:rsid w:val="003141C0"/>
    <w:rsid w:val="003340D6"/>
    <w:rsid w:val="00337B94"/>
    <w:rsid w:val="00340B9E"/>
    <w:rsid w:val="003455A0"/>
    <w:rsid w:val="00387689"/>
    <w:rsid w:val="00395055"/>
    <w:rsid w:val="003A301D"/>
    <w:rsid w:val="003B7C65"/>
    <w:rsid w:val="003D04EA"/>
    <w:rsid w:val="003D17B1"/>
    <w:rsid w:val="003D2E3A"/>
    <w:rsid w:val="003D73FF"/>
    <w:rsid w:val="003E3E35"/>
    <w:rsid w:val="004023D3"/>
    <w:rsid w:val="004216B0"/>
    <w:rsid w:val="00421AD7"/>
    <w:rsid w:val="004544C0"/>
    <w:rsid w:val="00464B44"/>
    <w:rsid w:val="00467A7C"/>
    <w:rsid w:val="00491E82"/>
    <w:rsid w:val="0049632F"/>
    <w:rsid w:val="00496CB8"/>
    <w:rsid w:val="004C0EE3"/>
    <w:rsid w:val="004C7CD5"/>
    <w:rsid w:val="004D17CF"/>
    <w:rsid w:val="004D5CEB"/>
    <w:rsid w:val="004E2B8F"/>
    <w:rsid w:val="004F18C5"/>
    <w:rsid w:val="00500462"/>
    <w:rsid w:val="0050202C"/>
    <w:rsid w:val="0051128C"/>
    <w:rsid w:val="00512B7F"/>
    <w:rsid w:val="005203E2"/>
    <w:rsid w:val="005528BA"/>
    <w:rsid w:val="005566BA"/>
    <w:rsid w:val="00565B1E"/>
    <w:rsid w:val="005665F3"/>
    <w:rsid w:val="00570827"/>
    <w:rsid w:val="005736A8"/>
    <w:rsid w:val="00584EC8"/>
    <w:rsid w:val="00586C23"/>
    <w:rsid w:val="005E008C"/>
    <w:rsid w:val="00602337"/>
    <w:rsid w:val="006122FA"/>
    <w:rsid w:val="00633291"/>
    <w:rsid w:val="00634113"/>
    <w:rsid w:val="0063560E"/>
    <w:rsid w:val="00636CBA"/>
    <w:rsid w:val="00642B50"/>
    <w:rsid w:val="00661B64"/>
    <w:rsid w:val="00680CC5"/>
    <w:rsid w:val="00686157"/>
    <w:rsid w:val="006902A4"/>
    <w:rsid w:val="006A3A96"/>
    <w:rsid w:val="006A69EC"/>
    <w:rsid w:val="006A7CEE"/>
    <w:rsid w:val="006D3C7F"/>
    <w:rsid w:val="006D4936"/>
    <w:rsid w:val="0070145A"/>
    <w:rsid w:val="00716FC9"/>
    <w:rsid w:val="00717963"/>
    <w:rsid w:val="00730906"/>
    <w:rsid w:val="007322F1"/>
    <w:rsid w:val="00745CF2"/>
    <w:rsid w:val="0076031B"/>
    <w:rsid w:val="00772034"/>
    <w:rsid w:val="007868AB"/>
    <w:rsid w:val="007A1B2A"/>
    <w:rsid w:val="007A36AD"/>
    <w:rsid w:val="007B71F2"/>
    <w:rsid w:val="007C3DD2"/>
    <w:rsid w:val="007C4E27"/>
    <w:rsid w:val="007D2443"/>
    <w:rsid w:val="007E2A5D"/>
    <w:rsid w:val="00800795"/>
    <w:rsid w:val="00801C81"/>
    <w:rsid w:val="00803E5D"/>
    <w:rsid w:val="00807F6B"/>
    <w:rsid w:val="0082634B"/>
    <w:rsid w:val="0083560B"/>
    <w:rsid w:val="00851062"/>
    <w:rsid w:val="00852D8C"/>
    <w:rsid w:val="0086288E"/>
    <w:rsid w:val="00863E83"/>
    <w:rsid w:val="00870525"/>
    <w:rsid w:val="00873FAC"/>
    <w:rsid w:val="00887E47"/>
    <w:rsid w:val="008D0065"/>
    <w:rsid w:val="008E1892"/>
    <w:rsid w:val="008F27BE"/>
    <w:rsid w:val="008F32F0"/>
    <w:rsid w:val="0091470B"/>
    <w:rsid w:val="009205B8"/>
    <w:rsid w:val="00932B9C"/>
    <w:rsid w:val="00940268"/>
    <w:rsid w:val="00945101"/>
    <w:rsid w:val="009638C5"/>
    <w:rsid w:val="00971EB9"/>
    <w:rsid w:val="009A3051"/>
    <w:rsid w:val="009B29FD"/>
    <w:rsid w:val="009B41AF"/>
    <w:rsid w:val="009D575F"/>
    <w:rsid w:val="009E7B45"/>
    <w:rsid w:val="009F52E9"/>
    <w:rsid w:val="00A072AF"/>
    <w:rsid w:val="00A12506"/>
    <w:rsid w:val="00A16B10"/>
    <w:rsid w:val="00A1766B"/>
    <w:rsid w:val="00A353EC"/>
    <w:rsid w:val="00A46245"/>
    <w:rsid w:val="00A82821"/>
    <w:rsid w:val="00A8316A"/>
    <w:rsid w:val="00A852F0"/>
    <w:rsid w:val="00A946AC"/>
    <w:rsid w:val="00AB3C08"/>
    <w:rsid w:val="00AC08C2"/>
    <w:rsid w:val="00AC3115"/>
    <w:rsid w:val="00AC4960"/>
    <w:rsid w:val="00AE4D7A"/>
    <w:rsid w:val="00AE5627"/>
    <w:rsid w:val="00AE5BBA"/>
    <w:rsid w:val="00AF36CA"/>
    <w:rsid w:val="00B02682"/>
    <w:rsid w:val="00B12CE3"/>
    <w:rsid w:val="00B1316E"/>
    <w:rsid w:val="00B1524F"/>
    <w:rsid w:val="00B16A60"/>
    <w:rsid w:val="00B21373"/>
    <w:rsid w:val="00B27F0A"/>
    <w:rsid w:val="00B42EBE"/>
    <w:rsid w:val="00B5219A"/>
    <w:rsid w:val="00B60CB0"/>
    <w:rsid w:val="00B617FB"/>
    <w:rsid w:val="00B741AF"/>
    <w:rsid w:val="00B830DE"/>
    <w:rsid w:val="00B83793"/>
    <w:rsid w:val="00B94715"/>
    <w:rsid w:val="00B94B21"/>
    <w:rsid w:val="00BB3FEC"/>
    <w:rsid w:val="00BB5C76"/>
    <w:rsid w:val="00BD022F"/>
    <w:rsid w:val="00BF1811"/>
    <w:rsid w:val="00C152F9"/>
    <w:rsid w:val="00C16DAA"/>
    <w:rsid w:val="00C304F7"/>
    <w:rsid w:val="00C4693A"/>
    <w:rsid w:val="00C6288F"/>
    <w:rsid w:val="00C84525"/>
    <w:rsid w:val="00C864A5"/>
    <w:rsid w:val="00CA071F"/>
    <w:rsid w:val="00CB7758"/>
    <w:rsid w:val="00CC12BC"/>
    <w:rsid w:val="00CD5F76"/>
    <w:rsid w:val="00CE01EB"/>
    <w:rsid w:val="00CE42D4"/>
    <w:rsid w:val="00D11429"/>
    <w:rsid w:val="00D546A1"/>
    <w:rsid w:val="00D630B7"/>
    <w:rsid w:val="00D66BBA"/>
    <w:rsid w:val="00D806C7"/>
    <w:rsid w:val="00D807FA"/>
    <w:rsid w:val="00D9527D"/>
    <w:rsid w:val="00D969AA"/>
    <w:rsid w:val="00DA5A97"/>
    <w:rsid w:val="00DA752F"/>
    <w:rsid w:val="00DB4D47"/>
    <w:rsid w:val="00DD553F"/>
    <w:rsid w:val="00DD6373"/>
    <w:rsid w:val="00DE772F"/>
    <w:rsid w:val="00E1054F"/>
    <w:rsid w:val="00E2561F"/>
    <w:rsid w:val="00E25E79"/>
    <w:rsid w:val="00E401D3"/>
    <w:rsid w:val="00E401FC"/>
    <w:rsid w:val="00E402F5"/>
    <w:rsid w:val="00E528E7"/>
    <w:rsid w:val="00E7045F"/>
    <w:rsid w:val="00E71B46"/>
    <w:rsid w:val="00E71E11"/>
    <w:rsid w:val="00E822FC"/>
    <w:rsid w:val="00E868AE"/>
    <w:rsid w:val="00E90878"/>
    <w:rsid w:val="00EA4191"/>
    <w:rsid w:val="00EA785F"/>
    <w:rsid w:val="00EA7B31"/>
    <w:rsid w:val="00EC5CCF"/>
    <w:rsid w:val="00EE20F0"/>
    <w:rsid w:val="00EF5306"/>
    <w:rsid w:val="00F13DD4"/>
    <w:rsid w:val="00F3598F"/>
    <w:rsid w:val="00F47682"/>
    <w:rsid w:val="00F57810"/>
    <w:rsid w:val="00F71BEC"/>
    <w:rsid w:val="00F774FD"/>
    <w:rsid w:val="00F843A0"/>
    <w:rsid w:val="00F87745"/>
    <w:rsid w:val="00F92DA2"/>
    <w:rsid w:val="00F971DD"/>
    <w:rsid w:val="00FA2F68"/>
    <w:rsid w:val="00FA30EB"/>
    <w:rsid w:val="00FC612E"/>
    <w:rsid w:val="00FD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167EE"/>
  <w15:docId w15:val="{5F47A724-3740-4178-955C-47E8D8A9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Ttulo1">
    <w:name w:val="heading 1"/>
    <w:basedOn w:val="Normal"/>
    <w:next w:val="Textoindependiente"/>
    <w:uiPriority w:val="9"/>
    <w:qFormat/>
    <w:rsid w:val="00901FB7"/>
    <w:pPr>
      <w:keepNext/>
      <w:keepLines/>
      <w:jc w:val="center"/>
      <w:outlineLvl w:val="0"/>
    </w:pPr>
    <w:rPr>
      <w:rFonts w:asciiTheme="majorHAnsi" w:eastAsiaTheme="majorEastAsia" w:hAnsiTheme="majorHAnsi" w:cstheme="majorBidi"/>
      <w:b/>
      <w:bCs/>
      <w:szCs w:val="32"/>
    </w:rPr>
  </w:style>
  <w:style w:type="paragraph" w:styleId="Ttulo2">
    <w:name w:val="heading 2"/>
    <w:basedOn w:val="Normal"/>
    <w:next w:val="Textoindependiente"/>
    <w:uiPriority w:val="9"/>
    <w:unhideWhenUsed/>
    <w:qFormat/>
    <w:rsid w:val="00901FB7"/>
    <w:pPr>
      <w:keepNext/>
      <w:keepLines/>
      <w:outlineLvl w:val="1"/>
    </w:pPr>
    <w:rPr>
      <w:rFonts w:asciiTheme="majorHAnsi" w:eastAsiaTheme="majorEastAsia" w:hAnsiTheme="majorHAnsi" w:cstheme="majorBidi"/>
      <w:b/>
      <w:bCs/>
      <w:szCs w:val="28"/>
    </w:rPr>
  </w:style>
  <w:style w:type="paragraph" w:styleId="Ttulo3">
    <w:name w:val="heading 3"/>
    <w:basedOn w:val="Normal"/>
    <w:next w:val="Textoindependiente"/>
    <w:uiPriority w:val="9"/>
    <w:unhideWhenUsed/>
    <w:qFormat/>
    <w:rsid w:val="00901FB7"/>
    <w:pPr>
      <w:keepNext/>
      <w:keepLines/>
      <w:outlineLvl w:val="2"/>
    </w:pPr>
    <w:rPr>
      <w:rFonts w:asciiTheme="majorHAnsi" w:eastAsiaTheme="majorEastAsia" w:hAnsiTheme="majorHAnsi" w:cstheme="majorBidi"/>
      <w:b/>
      <w:bCs/>
      <w:i/>
    </w:rPr>
  </w:style>
  <w:style w:type="paragraph" w:styleId="Ttulo4">
    <w:name w:val="heading 4"/>
    <w:basedOn w:val="Normal"/>
    <w:next w:val="Textoindependiente"/>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Ttulo5">
    <w:name w:val="heading 5"/>
    <w:basedOn w:val="Normal"/>
    <w:next w:val="Textoindependiente"/>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3560B"/>
    <w:pPr>
      <w:ind w:firstLine="720"/>
    </w:pPr>
  </w:style>
  <w:style w:type="paragraph" w:customStyle="1" w:styleId="FirstParagraph">
    <w:name w:val="First Paragraph"/>
    <w:basedOn w:val="Textoindependiente"/>
    <w:next w:val="Textoindependiente"/>
    <w:qFormat/>
    <w:rsid w:val="008174AC"/>
  </w:style>
  <w:style w:type="paragraph" w:customStyle="1" w:styleId="Compact">
    <w:name w:val="Compact"/>
    <w:basedOn w:val="Textoindependiente"/>
    <w:qFormat/>
    <w:rsid w:val="00387689"/>
    <w:pPr>
      <w:spacing w:line="240" w:lineRule="auto"/>
      <w:ind w:firstLine="0"/>
    </w:pPr>
  </w:style>
  <w:style w:type="paragraph" w:styleId="Ttulo">
    <w:name w:val="Title"/>
    <w:basedOn w:val="Normal"/>
    <w:next w:val="Textoindependiente"/>
    <w:link w:val="TtuloCar"/>
    <w:qFormat/>
    <w:rsid w:val="00E401FC"/>
    <w:pPr>
      <w:jc w:val="center"/>
      <w:outlineLvl w:val="0"/>
    </w:pPr>
    <w:rPr>
      <w:b/>
      <w:bCs/>
    </w:rPr>
  </w:style>
  <w:style w:type="paragraph" w:styleId="Subttulo">
    <w:name w:val="Subtitle"/>
    <w:basedOn w:val="Ttulo"/>
    <w:next w:val="Textoindependiente"/>
    <w:qFormat/>
    <w:rsid w:val="00E401FC"/>
    <w:pPr>
      <w:outlineLvl w:val="1"/>
    </w:pPr>
    <w:rPr>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link w:val="AbstractChar"/>
    <w:qFormat/>
    <w:rsid w:val="005528BA"/>
    <w:pPr>
      <w:ind w:firstLine="720"/>
    </w:pPr>
    <w:rPr>
      <w:szCs w:val="20"/>
    </w:rPr>
  </w:style>
  <w:style w:type="paragraph" w:styleId="Bibliografa">
    <w:name w:val="Bibliography"/>
    <w:basedOn w:val="Normal"/>
    <w:qFormat/>
    <w:rsid w:val="00CB7758"/>
    <w:pPr>
      <w:ind w:left="720" w:hanging="720"/>
    </w:pPr>
  </w:style>
  <w:style w:type="paragraph" w:styleId="Textodebloque">
    <w:name w:val="Block Text"/>
    <w:basedOn w:val="Textoindependiente"/>
    <w:next w:val="Textoindependiente"/>
    <w:link w:val="TextodebloqueCar"/>
    <w:uiPriority w:val="9"/>
    <w:unhideWhenUsed/>
    <w:qFormat/>
    <w:rsid w:val="0017682D"/>
    <w:pPr>
      <w:ind w:left="720" w:right="720" w:firstLine="0"/>
    </w:pPr>
  </w:style>
  <w:style w:type="paragraph" w:styleId="Textonotapie">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rsid w:val="003B7C65"/>
    <w:pPr>
      <w:keepNext/>
      <w:keepLines/>
      <w:spacing w:after="120"/>
    </w:pPr>
    <w:rPr>
      <w:i/>
    </w:rPr>
  </w:style>
  <w:style w:type="paragraph" w:customStyle="1" w:styleId="TableCaption">
    <w:name w:val="Table Caption"/>
    <w:basedOn w:val="Descripcin"/>
  </w:style>
  <w:style w:type="paragraph" w:customStyle="1" w:styleId="ImageCaption">
    <w:name w:val="Image Caption"/>
    <w:basedOn w:val="Descripci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DescripcinCar">
    <w:name w:val="Descripción Car"/>
    <w:basedOn w:val="Fuentedeprrafopredeter"/>
    <w:link w:val="Descripcin"/>
    <w:rsid w:val="003B7C65"/>
    <w:rPr>
      <w:i/>
    </w:rPr>
  </w:style>
  <w:style w:type="character" w:customStyle="1" w:styleId="VerbatimChar">
    <w:name w:val="Verbatim Char"/>
    <w:basedOn w:val="DescripcinCar"/>
    <w:link w:val="SourceCode"/>
    <w:rPr>
      <w:rFonts w:ascii="Consolas" w:hAnsi="Consolas"/>
      <w:i/>
      <w:sz w:val="22"/>
    </w:rPr>
  </w:style>
  <w:style w:type="character" w:customStyle="1" w:styleId="SectionNumber">
    <w:name w:val="Section Number"/>
    <w:basedOn w:val="DescripcinCar"/>
    <w:rPr>
      <w:i/>
    </w:rPr>
  </w:style>
  <w:style w:type="character" w:styleId="Refdenotaalpie">
    <w:name w:val="footnote reference"/>
    <w:basedOn w:val="DescripcinCar"/>
    <w:rPr>
      <w:i/>
      <w:vertAlign w:val="superscript"/>
    </w:rPr>
  </w:style>
  <w:style w:type="character" w:styleId="Hipervnculo">
    <w:name w:val="Hyperlink"/>
    <w:basedOn w:val="DescripcinCar"/>
    <w:rsid w:val="00250BD5"/>
    <w:rPr>
      <w:i w:val="0"/>
      <w:color w:val="4472C4"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2F5496" w:themeColor="accent1" w:themeShade="BF"/>
    </w:rPr>
  </w:style>
  <w:style w:type="character" w:customStyle="1" w:styleId="TextoindependienteCar">
    <w:name w:val="Texto independiente Car"/>
    <w:basedOn w:val="Fuentedeprrafopredeter"/>
    <w:link w:val="Textoindependiente"/>
    <w:rsid w:val="0083560B"/>
  </w:style>
  <w:style w:type="paragraph" w:customStyle="1" w:styleId="red">
    <w:name w:val="red"/>
    <w:basedOn w:val="Textoindependiente"/>
    <w:link w:val="redChar"/>
    <w:qFormat/>
    <w:rsid w:val="00385D19"/>
    <w:rPr>
      <w:color w:val="FF0000"/>
    </w:rPr>
  </w:style>
  <w:style w:type="character" w:customStyle="1" w:styleId="redChar">
    <w:name w:val="red Char"/>
    <w:basedOn w:val="TextoindependienteC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Encabezado">
    <w:name w:val="header"/>
    <w:basedOn w:val="Normal"/>
    <w:link w:val="EncabezadoCar"/>
    <w:uiPriority w:val="99"/>
    <w:unhideWhenUsed/>
    <w:rsid w:val="00340B9E"/>
    <w:pPr>
      <w:tabs>
        <w:tab w:val="center" w:pos="4680"/>
        <w:tab w:val="right" w:pos="9360"/>
      </w:tabs>
    </w:pPr>
  </w:style>
  <w:style w:type="character" w:customStyle="1" w:styleId="EncabezadoCar">
    <w:name w:val="Encabezado Car"/>
    <w:basedOn w:val="Fuentedeprrafopredeter"/>
    <w:link w:val="Encabezado"/>
    <w:uiPriority w:val="99"/>
    <w:rsid w:val="00340B9E"/>
  </w:style>
  <w:style w:type="paragraph" w:styleId="Piedepgina">
    <w:name w:val="footer"/>
    <w:basedOn w:val="Normal"/>
    <w:link w:val="PiedepginaCar"/>
    <w:unhideWhenUsed/>
    <w:rsid w:val="00340B9E"/>
    <w:pPr>
      <w:tabs>
        <w:tab w:val="center" w:pos="4680"/>
        <w:tab w:val="right" w:pos="9360"/>
      </w:tabs>
    </w:pPr>
  </w:style>
  <w:style w:type="character" w:customStyle="1" w:styleId="PiedepginaCar">
    <w:name w:val="Pie de página Car"/>
    <w:basedOn w:val="Fuentedeprrafopredeter"/>
    <w:link w:val="Piedepgina"/>
    <w:rsid w:val="00340B9E"/>
  </w:style>
  <w:style w:type="paragraph" w:customStyle="1" w:styleId="APAEnumerated">
    <w:name w:val="APAEnumerated"/>
    <w:basedOn w:val="Textoindependiente"/>
    <w:link w:val="APAEnumeratedChar"/>
    <w:qFormat/>
    <w:rsid w:val="00717963"/>
    <w:pPr>
      <w:numPr>
        <w:numId w:val="1"/>
      </w:numPr>
      <w:ind w:left="792"/>
    </w:pPr>
  </w:style>
  <w:style w:type="character" w:customStyle="1" w:styleId="TtuloCar">
    <w:name w:val="Título Car"/>
    <w:basedOn w:val="Fuentedeprrafopredeter"/>
    <w:link w:val="Ttulo"/>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Fuentedeprrafopredeter"/>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Textoindependiente"/>
    <w:link w:val="FigureNoteChar"/>
    <w:qFormat/>
    <w:rsid w:val="00A946AC"/>
    <w:pPr>
      <w:spacing w:before="60"/>
      <w:ind w:firstLine="0"/>
    </w:pPr>
  </w:style>
  <w:style w:type="character" w:customStyle="1" w:styleId="FigureNoteChar">
    <w:name w:val="FigureNote Char"/>
    <w:basedOn w:val="TextoindependienteCar"/>
    <w:link w:val="FigureNote"/>
    <w:rsid w:val="00A946AC"/>
  </w:style>
  <w:style w:type="character" w:customStyle="1" w:styleId="APAEnumeratedChar">
    <w:name w:val="APAEnumerated Char"/>
    <w:basedOn w:val="TextoindependienteC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Textoindependiente"/>
    <w:link w:val="AfterWithoutNoteChar"/>
    <w:qFormat/>
    <w:rsid w:val="00BB3FEC"/>
    <w:pPr>
      <w:spacing w:before="240"/>
    </w:pPr>
  </w:style>
  <w:style w:type="character" w:customStyle="1" w:styleId="AfterWithoutNoteChar">
    <w:name w:val="AfterWithoutNote Char"/>
    <w:basedOn w:val="TextoindependienteCar"/>
    <w:link w:val="AfterWithoutNote"/>
    <w:rsid w:val="00BB3FEC"/>
  </w:style>
  <w:style w:type="paragraph" w:customStyle="1" w:styleId="NoIndent">
    <w:name w:val="NoIndent"/>
    <w:basedOn w:val="Textoindependiente"/>
    <w:link w:val="NoIndentChar"/>
    <w:qFormat/>
    <w:rsid w:val="004023D3"/>
    <w:pPr>
      <w:ind w:firstLine="0"/>
    </w:pPr>
  </w:style>
  <w:style w:type="character" w:customStyle="1" w:styleId="NoIndentChar">
    <w:name w:val="NoIndent Char"/>
    <w:basedOn w:val="TextoindependienteCar"/>
    <w:link w:val="NoIndent"/>
    <w:rsid w:val="004023D3"/>
  </w:style>
  <w:style w:type="paragraph" w:customStyle="1" w:styleId="NextBlockText">
    <w:name w:val="NextBlockText"/>
    <w:basedOn w:val="Textodebloque"/>
    <w:link w:val="NextBlockTextChar"/>
    <w:qFormat/>
    <w:rsid w:val="00065938"/>
    <w:pPr>
      <w:ind w:firstLine="720"/>
    </w:pPr>
  </w:style>
  <w:style w:type="character" w:customStyle="1" w:styleId="TextodebloqueCar">
    <w:name w:val="Texto de bloque Car"/>
    <w:basedOn w:val="TextoindependienteCar"/>
    <w:link w:val="Textodebloque"/>
    <w:uiPriority w:val="9"/>
    <w:rsid w:val="00065938"/>
  </w:style>
  <w:style w:type="character" w:customStyle="1" w:styleId="NextBlockTextChar">
    <w:name w:val="NextBlockText Char"/>
    <w:basedOn w:val="TextodebloqueCar"/>
    <w:link w:val="NextBlockText"/>
    <w:rsid w:val="00065938"/>
  </w:style>
  <w:style w:type="character" w:styleId="Textodelmarcadordeposicin">
    <w:name w:val="Placeholder Text"/>
    <w:basedOn w:val="Fuentedeprrafopredeter"/>
    <w:semiHidden/>
    <w:rsid w:val="00BB5C76"/>
    <w:rPr>
      <w:color w:val="666666"/>
    </w:rPr>
  </w:style>
  <w:style w:type="character" w:customStyle="1" w:styleId="H4">
    <w:name w:val="H4"/>
    <w:basedOn w:val="Fuentedeprrafopredeter"/>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Fuentedeprrafopredeter"/>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customStyle="1" w:styleId="rev">
    <w:name w:val="rev"/>
    <w:basedOn w:val="Fuentedeprrafopredeter"/>
    <w:uiPriority w:val="1"/>
    <w:qFormat/>
    <w:rsid w:val="00C864A5"/>
    <w:rPr>
      <w:color w:val="EE0000"/>
    </w:rPr>
  </w:style>
  <w:style w:type="paragraph" w:styleId="Revisin">
    <w:name w:val="Revision"/>
    <w:hidden/>
    <w:semiHidden/>
    <w:rsid w:val="00807F6B"/>
    <w:pPr>
      <w:spacing w:after="0"/>
    </w:pPr>
  </w:style>
  <w:style w:type="character" w:styleId="Hipervnculovisitado">
    <w:name w:val="FollowedHyperlink"/>
    <w:basedOn w:val="Fuentedeprrafopredeter"/>
    <w:semiHidden/>
    <w:unhideWhenUsed/>
    <w:rsid w:val="00807F6B"/>
    <w:rPr>
      <w:color w:val="954F72" w:themeColor="followedHyperlink"/>
      <w:u w:val="single"/>
    </w:rPr>
  </w:style>
  <w:style w:type="character" w:styleId="Refdecomentario">
    <w:name w:val="annotation reference"/>
    <w:basedOn w:val="Fuentedeprrafopredeter"/>
    <w:semiHidden/>
    <w:unhideWhenUsed/>
    <w:rsid w:val="00512B7F"/>
    <w:rPr>
      <w:sz w:val="16"/>
      <w:szCs w:val="16"/>
    </w:rPr>
  </w:style>
  <w:style w:type="paragraph" w:styleId="Textocomentario">
    <w:name w:val="annotation text"/>
    <w:basedOn w:val="Normal"/>
    <w:link w:val="TextocomentarioCar"/>
    <w:semiHidden/>
    <w:unhideWhenUsed/>
    <w:rsid w:val="00512B7F"/>
    <w:pPr>
      <w:spacing w:line="240" w:lineRule="auto"/>
    </w:pPr>
    <w:rPr>
      <w:sz w:val="20"/>
      <w:szCs w:val="20"/>
    </w:rPr>
  </w:style>
  <w:style w:type="character" w:customStyle="1" w:styleId="TextocomentarioCar">
    <w:name w:val="Texto comentario Car"/>
    <w:basedOn w:val="Fuentedeprrafopredeter"/>
    <w:link w:val="Textocomentario"/>
    <w:semiHidden/>
    <w:rsid w:val="00512B7F"/>
    <w:rPr>
      <w:sz w:val="20"/>
      <w:szCs w:val="20"/>
    </w:rPr>
  </w:style>
  <w:style w:type="paragraph" w:styleId="Asuntodelcomentario">
    <w:name w:val="annotation subject"/>
    <w:basedOn w:val="Textocomentario"/>
    <w:next w:val="Textocomentario"/>
    <w:link w:val="AsuntodelcomentarioCar"/>
    <w:semiHidden/>
    <w:unhideWhenUsed/>
    <w:rsid w:val="00512B7F"/>
    <w:rPr>
      <w:b/>
      <w:bCs/>
    </w:rPr>
  </w:style>
  <w:style w:type="character" w:customStyle="1" w:styleId="AsuntodelcomentarioCar">
    <w:name w:val="Asunto del comentario Car"/>
    <w:basedOn w:val="TextocomentarioCar"/>
    <w:link w:val="Asuntodelcomentario"/>
    <w:semiHidden/>
    <w:rsid w:val="00512B7F"/>
    <w:rPr>
      <w:b/>
      <w:bCs/>
      <w:sz w:val="20"/>
      <w:szCs w:val="20"/>
    </w:rPr>
  </w:style>
  <w:style w:type="character" w:styleId="Mencinsinresolver">
    <w:name w:val="Unresolved Mention"/>
    <w:basedOn w:val="Fuentedeprrafopredeter"/>
    <w:uiPriority w:val="99"/>
    <w:semiHidden/>
    <w:unhideWhenUsed/>
    <w:rsid w:val="001B2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124050">
      <w:bodyDiv w:val="1"/>
      <w:marLeft w:val="0"/>
      <w:marRight w:val="0"/>
      <w:marTop w:val="0"/>
      <w:marBottom w:val="0"/>
      <w:divBdr>
        <w:top w:val="none" w:sz="0" w:space="0" w:color="auto"/>
        <w:left w:val="none" w:sz="0" w:space="0" w:color="auto"/>
        <w:bottom w:val="none" w:sz="0" w:space="0" w:color="auto"/>
        <w:right w:val="none" w:sz="0" w:space="0" w:color="auto"/>
      </w:divBdr>
    </w:div>
    <w:div w:id="2055695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s13423-014-0724-0" TargetMode="External"/><Relationship Id="rId21" Type="http://schemas.openxmlformats.org/officeDocument/2006/relationships/hyperlink" Target="https://osf.io/f3bm8" TargetMode="External"/><Relationship Id="rId42" Type="http://schemas.openxmlformats.org/officeDocument/2006/relationships/hyperlink" Target="https://doi.org/10.5334/joc.382" TargetMode="External"/><Relationship Id="rId47" Type="http://schemas.openxmlformats.org/officeDocument/2006/relationships/hyperlink" Target="https://doi.org/10.1038/s44159-022-00025-3" TargetMode="External"/><Relationship Id="rId63" Type="http://schemas.openxmlformats.org/officeDocument/2006/relationships/hyperlink" Target="https://doi.org/10.1016/j.lmot.2015.11.001" TargetMode="External"/><Relationship Id="rId68" Type="http://schemas.openxmlformats.org/officeDocument/2006/relationships/hyperlink" Target="https://doi.org/10.3758/s13414-016-1135-2" TargetMode="External"/><Relationship Id="rId84" Type="http://schemas.openxmlformats.org/officeDocument/2006/relationships/theme" Target="theme/theme1.xml"/><Relationship Id="rId16" Type="http://schemas.openxmlformats.org/officeDocument/2006/relationships/hyperlink" Target="https://osf.io/f3bm8" TargetMode="External"/><Relationship Id="rId11" Type="http://schemas.openxmlformats.org/officeDocument/2006/relationships/hyperlink" Target="https://orcid.org/0000-0001-8421-816X" TargetMode="External"/><Relationship Id="rId32" Type="http://schemas.openxmlformats.org/officeDocument/2006/relationships/hyperlink" Target="https://doi.org/10.18637/jss.v034.i02" TargetMode="External"/><Relationship Id="rId37" Type="http://schemas.openxmlformats.org/officeDocument/2006/relationships/hyperlink" Target="https://doi.org/10.3758/s13423-017-1380-y" TargetMode="External"/><Relationship Id="rId53" Type="http://schemas.openxmlformats.org/officeDocument/2006/relationships/hyperlink" Target="https://doi.org/10.3758/s13414-017-1346-1" TargetMode="External"/><Relationship Id="rId58" Type="http://schemas.openxmlformats.org/officeDocument/2006/relationships/hyperlink" Target="https://doi.org/10.1007/s004260050049" TargetMode="External"/><Relationship Id="rId74" Type="http://schemas.openxmlformats.org/officeDocument/2006/relationships/hyperlink" Target="https://doi.org/10.1037/0096-1523.20.4.799" TargetMode="External"/><Relationship Id="rId79" Type="http://schemas.openxmlformats.org/officeDocument/2006/relationships/hyperlink" Target="https://doi.org/10.1177/0956797615625973" TargetMode="External"/><Relationship Id="rId5" Type="http://schemas.openxmlformats.org/officeDocument/2006/relationships/webSettings" Target="webSettings.xml"/><Relationship Id="rId61" Type="http://schemas.openxmlformats.org/officeDocument/2006/relationships/hyperlink" Target="https://doi.org/10.5334/joc.375" TargetMode="External"/><Relationship Id="rId82" Type="http://schemas.openxmlformats.org/officeDocument/2006/relationships/header" Target="header1.xml"/><Relationship Id="rId19" Type="http://schemas.openxmlformats.org/officeDocument/2006/relationships/hyperlink" Target="mailto:fgfrutos@ugr.es" TargetMode="External"/><Relationship Id="rId14" Type="http://schemas.openxmlformats.org/officeDocument/2006/relationships/hyperlink" Target="https://orcid.org/0000-0001-6157-9894" TargetMode="External"/><Relationship Id="rId22" Type="http://schemas.openxmlformats.org/officeDocument/2006/relationships/hyperlink" Target="https://osf.io/f3bm8" TargetMode="External"/><Relationship Id="rId27" Type="http://schemas.openxmlformats.org/officeDocument/2006/relationships/hyperlink" Target="https://doi.org/10.1016/j.neubiorev.2021.09.004" TargetMode="External"/><Relationship Id="rId30" Type="http://schemas.openxmlformats.org/officeDocument/2006/relationships/hyperlink" Target="https://doi.org/10.18637/jss.v067.i01" TargetMode="External"/><Relationship Id="rId35" Type="http://schemas.openxmlformats.org/officeDocument/2006/relationships/hyperlink" Target="https://doi.org/10.3758/s13423-024-02605-1" TargetMode="External"/><Relationship Id="rId43" Type="http://schemas.openxmlformats.org/officeDocument/2006/relationships/hyperlink" Target="https://doi.org/10.1523/JNEUROSCI.3270-14.2014" TargetMode="External"/><Relationship Id="rId48" Type="http://schemas.openxmlformats.org/officeDocument/2006/relationships/hyperlink" Target="https://doi.org/10.1080/713756001" TargetMode="External"/><Relationship Id="rId56" Type="http://schemas.openxmlformats.org/officeDocument/2006/relationships/hyperlink" Target="https://doi.org/10.1037/h0090354" TargetMode="External"/><Relationship Id="rId64" Type="http://schemas.openxmlformats.org/officeDocument/2006/relationships/hyperlink" Target="https://doi.org/10.3758/s13414-020-02130-y" TargetMode="External"/><Relationship Id="rId69" Type="http://schemas.openxmlformats.org/officeDocument/2006/relationships/hyperlink" Target="https://www.R-project.org/" TargetMode="External"/><Relationship Id="rId77" Type="http://schemas.openxmlformats.org/officeDocument/2006/relationships/hyperlink" Target="https://doi.org/10.3758/s13423-020-01722-x" TargetMode="External"/><Relationship Id="rId8" Type="http://schemas.openxmlformats.org/officeDocument/2006/relationships/image" Target="media/image1.png"/><Relationship Id="rId51" Type="http://schemas.openxmlformats.org/officeDocument/2006/relationships/hyperlink" Target="https://doi.org/10.1037/bul0000064" TargetMode="External"/><Relationship Id="rId72" Type="http://schemas.openxmlformats.org/officeDocument/2006/relationships/hyperlink" Target="https://doi.org/10.1037/1082-989X.11.1.54" TargetMode="External"/><Relationship Id="rId80"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hyperlink" Target="https://orcid.org/0000-0002-5849-7721" TargetMode="External"/><Relationship Id="rId17" Type="http://schemas.openxmlformats.org/officeDocument/2006/relationships/hyperlink" Target="https://osf.io/ezcrn" TargetMode="External"/><Relationship Id="rId25" Type="http://schemas.openxmlformats.org/officeDocument/2006/relationships/image" Target="media/image5.png"/><Relationship Id="rId33" Type="http://schemas.openxmlformats.org/officeDocument/2006/relationships/hyperlink" Target="https://doi.org/10.3758/s13415-014-0277-8" TargetMode="External"/><Relationship Id="rId38" Type="http://schemas.openxmlformats.org/officeDocument/2006/relationships/hyperlink" Target="https://doi.org/10.3758/s13423-019-01679-6" TargetMode="External"/><Relationship Id="rId46" Type="http://schemas.openxmlformats.org/officeDocument/2006/relationships/hyperlink" Target="https://doi.org/10.3758/s13420-011-0046-2" TargetMode="External"/><Relationship Id="rId59" Type="http://schemas.openxmlformats.org/officeDocument/2006/relationships/hyperlink" Target="https://doi.org/10.1016/j.biopsycho.2011.05.002" TargetMode="External"/><Relationship Id="rId67" Type="http://schemas.openxmlformats.org/officeDocument/2006/relationships/hyperlink" Target="https://doi.org/10.1038/s41467-019-08922-7" TargetMode="External"/><Relationship Id="rId20" Type="http://schemas.openxmlformats.org/officeDocument/2006/relationships/hyperlink" Target="https://osf.io/ezcrn" TargetMode="External"/><Relationship Id="rId41" Type="http://schemas.openxmlformats.org/officeDocument/2006/relationships/hyperlink" Target="https://doi.org/10.3758/s13428-023-02329-5" TargetMode="External"/><Relationship Id="rId54" Type="http://schemas.openxmlformats.org/officeDocument/2006/relationships/hyperlink" Target="https://doi.org/10.1037/0033-295X.95.4.492" TargetMode="External"/><Relationship Id="rId62" Type="http://schemas.openxmlformats.org/officeDocument/2006/relationships/hyperlink" Target="https://doi.org/10.1016/j.neubiorev.2019.11.012" TargetMode="External"/><Relationship Id="rId70" Type="http://schemas.openxmlformats.org/officeDocument/2006/relationships/hyperlink" Target="https://doi.org/10.3758/BRM.40.3.699" TargetMode="External"/><Relationship Id="rId75" Type="http://schemas.openxmlformats.org/officeDocument/2006/relationships/hyperlink" Target="https://doi.org/10.1016/j.visres.2012.07.024"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f3bm8" TargetMode="External"/><Relationship Id="rId23" Type="http://schemas.openxmlformats.org/officeDocument/2006/relationships/image" Target="media/image3.png"/><Relationship Id="rId28" Type="http://schemas.openxmlformats.org/officeDocument/2006/relationships/hyperlink" Target="https://doi.org/10.1073/pnas.1104047108" TargetMode="External"/><Relationship Id="rId36" Type="http://schemas.openxmlformats.org/officeDocument/2006/relationships/hyperlink" Target="https://doi.org/10.3758/s13414-017-1376-8" TargetMode="External"/><Relationship Id="rId49" Type="http://schemas.openxmlformats.org/officeDocument/2006/relationships/hyperlink" Target="https://doi.org/10.1037/0278-7393.25.1.236" TargetMode="External"/><Relationship Id="rId57" Type="http://schemas.openxmlformats.org/officeDocument/2006/relationships/hyperlink" Target="https://doi.org/10.1037/0278-7393.22.3.620" TargetMode="External"/><Relationship Id="rId10" Type="http://schemas.openxmlformats.org/officeDocument/2006/relationships/hyperlink" Target="https://orcid.org/0000-0001-5052-066X" TargetMode="External"/><Relationship Id="rId31" Type="http://schemas.openxmlformats.org/officeDocument/2006/relationships/hyperlink" Target="https://doi.org/10.1073/pnas.0334049100" TargetMode="External"/><Relationship Id="rId44" Type="http://schemas.openxmlformats.org/officeDocument/2006/relationships/hyperlink" Target="https://doi.org/10.1111/2041-210X.12504" TargetMode="External"/><Relationship Id="rId52" Type="http://schemas.openxmlformats.org/officeDocument/2006/relationships/hyperlink" Target="http://dx.doi.org/10.1037/xge0000037" TargetMode="External"/><Relationship Id="rId60" Type="http://schemas.openxmlformats.org/officeDocument/2006/relationships/hyperlink" Target="https://doi.org/10.1037/0097-7403.28.1.3" TargetMode="External"/><Relationship Id="rId65" Type="http://schemas.openxmlformats.org/officeDocument/2006/relationships/hyperlink" Target="https://doi.org/10.1017/S0140525X09000855" TargetMode="External"/><Relationship Id="rId73" Type="http://schemas.openxmlformats.org/officeDocument/2006/relationships/hyperlink" Target="https://doi.org/10.3758/BF03211656" TargetMode="External"/><Relationship Id="rId78" Type="http://schemas.openxmlformats.org/officeDocument/2006/relationships/hyperlink" Target="https://doi.org/10.1037/xhp0000472" TargetMode="External"/><Relationship Id="rId81" Type="http://schemas.openxmlformats.org/officeDocument/2006/relationships/hyperlink" Target="https://doi.org/10.1177/2515245919885611" TargetMode="Externa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hyperlink" Target="https://orcid.org/0000-0002-0491-1317" TargetMode="External"/><Relationship Id="rId18" Type="http://schemas.openxmlformats.org/officeDocument/2006/relationships/hyperlink" Target="https://credit.niso.org" TargetMode="External"/><Relationship Id="rId39" Type="http://schemas.openxmlformats.org/officeDocument/2006/relationships/hyperlink" Target="https://doi.org/10.1007/s00426-025-02115-2" TargetMode="External"/><Relationship Id="rId34" Type="http://schemas.openxmlformats.org/officeDocument/2006/relationships/hyperlink" Target="https://doi.org/10.3758/s13414-024-03008-z" TargetMode="External"/><Relationship Id="rId50" Type="http://schemas.openxmlformats.org/officeDocument/2006/relationships/hyperlink" Target="https://doi.org/10.31234/osf.io/z4yqe" TargetMode="External"/><Relationship Id="rId55" Type="http://schemas.openxmlformats.org/officeDocument/2006/relationships/hyperlink" Target="https://doi.org/10.1037/0033-295X.109.2.376" TargetMode="External"/><Relationship Id="rId76" Type="http://schemas.openxmlformats.org/officeDocument/2006/relationships/hyperlink" Target="https://doi.org/10.1037/xhp0001230" TargetMode="External"/><Relationship Id="rId7" Type="http://schemas.openxmlformats.org/officeDocument/2006/relationships/endnotes" Target="endnotes.xml"/><Relationship Id="rId71" Type="http://schemas.openxmlformats.org/officeDocument/2006/relationships/hyperlink" Target="https://doi.org/10.1037/bul0000296" TargetMode="External"/><Relationship Id="rId2" Type="http://schemas.openxmlformats.org/officeDocument/2006/relationships/numbering" Target="numbering.xml"/><Relationship Id="rId29" Type="http://schemas.openxmlformats.org/officeDocument/2006/relationships/hyperlink" Target="https://doi.org/10.1037/a0030860" TargetMode="External"/><Relationship Id="rId24" Type="http://schemas.openxmlformats.org/officeDocument/2006/relationships/image" Target="media/image4.png"/><Relationship Id="rId40" Type="http://schemas.openxmlformats.org/officeDocument/2006/relationships/hyperlink" Target="https://doi.org/10.3758/s13423-025-02734-1" TargetMode="External"/><Relationship Id="rId45" Type="http://schemas.openxmlformats.org/officeDocument/2006/relationships/hyperlink" Target="https://doi.org/10.1101/lm.050336.119" TargetMode="External"/><Relationship Id="rId66" Type="http://schemas.openxmlformats.org/officeDocument/2006/relationships/hyperlink" Target="https://doi.org/10.31234/osf.io/qh5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E1DC-17A8-4FA3-8D04-87475E08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26</Pages>
  <Words>6162</Words>
  <Characters>39994</Characters>
  <Application>Microsoft Office Word</Application>
  <DocSecurity>0</DocSecurity>
  <Lines>634</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Groovy Title</vt:lpstr>
    </vt:vector>
  </TitlesOfParts>
  <Company/>
  <LinksUpToDate>false</LinksUpToDate>
  <CharactersWithSpaces>45989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Lupiáñez</dc:creator>
  <cp:keywords>attentional capture, learning, reward, selective attention, awareness</cp:keywords>
  <dc:description>THE ROLE OF SELECTIVE ATTENTION IN VMAC</dc:description>
  <cp:lastModifiedBy>francisco garre frutos</cp:lastModifiedBy>
  <cp:revision>18</cp:revision>
  <dcterms:created xsi:type="dcterms:W3CDTF">2025-07-24T15:03:00Z</dcterms:created>
  <dcterms:modified xsi:type="dcterms:W3CDTF">2025-07-30T17:59:00Z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Stimuli that reliably predict reward can capture attention. Value‑Modulated Attentional Capture (VMAC) is typically viewed as independent of task goals or physical salience, arising from Pavlovian learning. However, recent evidence suggests that the awareness of the stimulus‑reward contingency may be necessary during the acquisition of such attentional biases, although the underlying mechanism remains unclear. One possibility is that awareness mediates the learning process of VMAC by directing selective, top-down attention toward the reward‑predictive feature. The present preregistered study tested whether reward‑related attentional biases arise primarily from such selective attention, independently of awareness. Participants performed a visual search task in which one of two singleton distractors—one predicting high reward, the other low reward—appeared on a subset of trials. Selective attention to the reward‑predictive feature (distractor color) was manipulated between groups: In some trials, one group reported the distractor’s color, while the other group reported an irrelevant feature (its location). Otherwise, the stimulus–reward contingencies remained identical for both groups. VMAC, as measured by slower response times for the high‑value compared to the low‑value distractor, emerged only in the group that reported the color. Critically, the previous result cannot be explained by individual differences in awareness. These findings demonstrate a causal role of selective attention in the acquisition of reward-related attentional biases. </vt:lpwstr>
  </property>
  <property fmtid="{D5CDD505-2E9C-101B-9397-08002B2CF9AE}" pid="5" name="apaauthor">
    <vt:lpwstr/>
  </property>
  <property fmtid="{D5CDD505-2E9C-101B-9397-08002B2CF9AE}" pid="6" name="apatitle">
    <vt:lpwstr>The Role of Selective Attention in Value-Modulated Attentional Capture</vt:lpwstr>
  </property>
  <property fmtid="{D5CDD505-2E9C-101B-9397-08002B2CF9AE}" pid="7" name="apatitledisplay">
    <vt:lpwstr>The Role of Selective Attention in Value-Modulated Attentional Capture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nvert-graphics">
    <vt:lpwstr>True</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False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Whether Pavlovian associations can guide attention without awareness of the specific statistical contingency remains an outstanding issue, critical for understanding not only how learning impacts attention in general, but also how such attentional biases operate in certain psychopathological conditions, such as addiction. Although most research shows the apparent automaticity of VMAC once learning is established, recent studies highlight that awareness of statistical contingencies is associated with the learning process of VMAC. In this study, we show that a manipulation of selective attention toward a feature associated with reward modulates its learning, independently of awareness. Our findings expand the boundary conditions under which a stimulus associated with reward can bias attention automatically, with broader implications for theories of learning and attentional control.</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no-ampersand-parenthetical">
    <vt:lpwstr>False</vt:lpwstr>
  </property>
  <property fmtid="{D5CDD505-2E9C-101B-9397-08002B2CF9AE}" pid="31" name="numbered-lines">
    <vt:lpwstr>False</vt:lpwstr>
  </property>
  <property fmtid="{D5CDD505-2E9C-101B-9397-08002B2CF9AE}" pid="32" name="oneaffiliation">
    <vt:lpwstr>False</vt:lpwstr>
  </property>
  <property fmtid="{D5CDD505-2E9C-101B-9397-08002B2CF9AE}" pid="33" name="oneauthor">
    <vt:lpwstr>False</vt:lpwstr>
  </property>
  <property fmtid="{D5CDD505-2E9C-101B-9397-08002B2CF9AE}" pid="34" name="references">
    <vt:lpwstr/>
  </property>
  <property fmtid="{D5CDD505-2E9C-101B-9397-08002B2CF9AE}" pid="35" name="revealjs-plugins">
    <vt:lpwstr/>
  </property>
  <property fmtid="{D5CDD505-2E9C-101B-9397-08002B2CF9AE}" pid="36" name="shorttitle">
    <vt:lpwstr>THE ROLE OF SELECTIVE ATTENTION IN VMAC</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impact-statement">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oc-title">
    <vt:lpwstr>Table of contents</vt:lpwstr>
  </property>
  <property fmtid="{D5CDD505-2E9C-101B-9397-08002B2CF9AE}" pid="63" name="zerocitations">
    <vt:lpwstr>False</vt:lpwstr>
  </property>
  <property fmtid="{D5CDD505-2E9C-101B-9397-08002B2CF9AE}" pid="64" name="GrammarlyDocumentId">
    <vt:lpwstr>0db8379b-3608-4146-a17c-3713bea53e8c</vt:lpwstr>
  </property>
</Properties>
</file>