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F46E5" w:val="clear"/>
        <w:spacing w:after="0" w:before="1200"/>
        <w:jc w:val="center"/>
      </w:pPr>
      <w:r>
        <w:rPr>
          <w:rFonts w:ascii="Arial" w:cs="Arial" w:eastAsia="Arial" w:hAnsi="Arial"/>
          <w:b/>
          <w:bCs/>
          <w:color w:val="C7D2FE"/>
          <w:sz w:val="28"/>
          <w:szCs w:val="28"/>
        </w:rPr>
        <w:t xml:space="preserve">🛡️  CYBERSHIELD</w:t>
      </w:r>
    </w:p>
    <w:p>
      <w:pPr>
        <w:shd w:fill="4F46E5" w:val="clear"/>
        <w:spacing w:after="0" w:before="0"/>
        <w:jc w:val="center"/>
      </w:pPr>
      <w:r>
        <w:rPr>
          <w:rFonts w:ascii="Arial" w:cs="Arial" w:eastAsia="Arial" w:hAnsi="Arial"/>
          <w:b/>
          <w:bCs/>
          <w:color w:val="FFFFFF"/>
          <w:sz w:val="48"/>
          <w:szCs w:val="48"/>
        </w:rPr>
        <w:t xml:space="preserve">Software Design</w:t>
      </w:r>
    </w:p>
    <w:p>
      <w:pPr>
        <w:shd w:fill="4F46E5" w:val="clear"/>
        <w:spacing w:after="0" w:before="80"/>
        <w:jc w:val="center"/>
      </w:pPr>
      <w:r>
        <w:rPr>
          <w:rFonts w:ascii="Arial" w:cs="Arial" w:eastAsia="Arial" w:hAnsi="Arial"/>
          <w:color w:val="C7D2FE"/>
          <w:sz w:val="26"/>
          <w:szCs w:val="26"/>
        </w:rPr>
        <w:t xml:space="preserve">Document (SDD)</w:t>
      </w:r>
    </w:p>
    <w:p>
      <w:pPr>
        <w:shd w:fill="4F46E5" w:val="clear"/>
        <w:spacing w:after="0" w:before="240"/>
        <w:jc w:val="center"/>
      </w:pPr>
      <w:r>
        <w:rPr>
          <w:rFonts w:ascii="Arial" w:cs="Arial" w:eastAsia="Arial" w:hAnsi="Arial"/>
          <w:color w:val="A5B4FC"/>
          <w:sz w:val="18"/>
          <w:szCs w:val="18"/>
        </w:rPr>
        <w:t xml:space="preserve">CS-SDD-002  |  v1.0  |  28/5/2026  |  CONFIDENTIAL</w:t>
      </w:r>
    </w:p>
    <w:p>
      <w:pPr>
        <w:shd w:fill="4F46E5" w:val="clear"/>
        <w:spacing w:after="1200" w:before="0"/>
        <w:jc w:val="center"/>
      </w:pPr>
      <w:r>
        <w:rPr>
          <w:rFonts w:ascii="Arial" w:cs="Arial" w:eastAsia="Arial" w:hAnsi="Arial"/>
          <w:color w:val="A5B4FC"/>
          <w:sz w:val="18"/>
          <w:szCs w:val="18"/>
        </w:rPr>
        <w:t xml:space="preserve">Francisco José Jiménez Pozo  |  fjjpozo075@gmail.com  |  github.com/franjmenezz</w:t>
      </w:r>
    </w:p>
    <w:p>
      <w:r>
        <w:br w:type="page"/>
      </w:r>
    </w:p>
    <w:p>
      <w:pPr>
        <w:pStyle w:val="Heading1"/>
        <w:spacing w:after="120" w:before="300"/>
      </w:pPr>
      <w:r>
        <w:rPr>
          <w:rFonts w:ascii="Arial" w:cs="Arial" w:eastAsia="Arial" w:hAnsi="Arial"/>
          <w:b/>
          <w:bCs/>
          <w:color w:val="4F46E5"/>
          <w:sz w:val="32"/>
          <w:szCs w:val="32"/>
        </w:rPr>
        <w:t xml:space="preserve">1. 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Document</w:t>
            </w:r>
          </w:p>
        </w:tc>
        <w:tc>
          <w:tcPr>
            <w:tcW w:type="dxa" w:w="6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Software Design Document</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Reference</w:t>
            </w:r>
          </w:p>
        </w:tc>
        <w:tc>
          <w:tcPr>
            <w:tcW w:type="dxa" w:w="6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CS-SDD-002</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Version</w:t>
            </w:r>
          </w:p>
        </w:tc>
        <w:tc>
          <w:tcPr>
            <w:tcW w:type="dxa" w:w="6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1.0</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Date</w:t>
            </w:r>
          </w:p>
        </w:tc>
        <w:tc>
          <w:tcPr>
            <w:tcW w:type="dxa" w:w="6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28/5/2026</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Author</w:t>
            </w:r>
          </w:p>
        </w:tc>
        <w:tc>
          <w:tcPr>
            <w:tcW w:type="dxa" w:w="6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Francisco José Jiménez Pozo</w:t>
            </w:r>
          </w:p>
        </w:tc>
      </w:tr>
      <w:tr>
        <w:tc>
          <w:tcPr>
            <w:tcW w:type="dxa" w:w="30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Based on</w:t>
            </w:r>
          </w:p>
        </w:tc>
        <w:tc>
          <w:tcPr>
            <w:tcW w:type="dxa" w:w="6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CS-SRS-001 v1.0</w:t>
            </w:r>
          </w:p>
        </w:tc>
      </w:tr>
    </w:tbl>
    <w:p>
      <w:pPr>
        <w:spacing w:after="60" w:before="60"/>
      </w:pPr>
      <w:r>
        <w:t xml:space="preserve"/>
      </w:r>
    </w:p>
    <w:p>
      <w:pPr>
        <w:pStyle w:val="Heading1"/>
        <w:spacing w:after="120" w:before="300"/>
      </w:pPr>
      <w:r>
        <w:rPr>
          <w:rFonts w:ascii="Arial" w:cs="Arial" w:eastAsia="Arial" w:hAnsi="Arial"/>
          <w:b/>
          <w:bCs/>
          <w:color w:val="4F46E5"/>
          <w:sz w:val="32"/>
          <w:szCs w:val="32"/>
        </w:rPr>
        <w:t xml:space="preserve">2. System Architecture</w:t>
      </w:r>
    </w:p>
    <w:p>
      <w:pPr>
        <w:pStyle w:val="Heading2"/>
        <w:spacing w:after="100" w:before="240"/>
      </w:pPr>
      <w:r>
        <w:rPr>
          <w:rFonts w:ascii="Arial" w:cs="Arial" w:eastAsia="Arial" w:hAnsi="Arial"/>
          <w:b/>
          <w:bCs/>
          <w:color w:val="0F172A"/>
          <w:sz w:val="26"/>
          <w:szCs w:val="26"/>
        </w:rPr>
        <w:t xml:space="preserve">2.1 Overview</w:t>
      </w:r>
    </w:p>
    <w:p>
      <w:pPr>
        <w:spacing w:after="80" w:before="80"/>
        <w:jc w:val="left"/>
      </w:pPr>
      <w:r>
        <w:rPr>
          <w:rFonts w:ascii="Arial" w:cs="Arial" w:eastAsia="Arial" w:hAnsi="Arial"/>
          <w:b w:val="false"/>
          <w:bCs w:val="false"/>
          <w:i w:val="false"/>
          <w:iCs w:val="false"/>
          <w:color w:val="0F172A"/>
          <w:sz w:val="22"/>
          <w:szCs w:val="22"/>
        </w:rPr>
        <w:t xml:space="preserve">CyberShield follows a layered architecture pattern with clear separation of concerns between data collection, processing, storage, and presentation layers.</w:t>
      </w:r>
    </w:p>
    <w:p>
      <w:pPr>
        <w:pStyle w:val="Heading2"/>
        <w:spacing w:after="100" w:before="240"/>
      </w:pPr>
      <w:r>
        <w:rPr>
          <w:rFonts w:ascii="Arial" w:cs="Arial" w:eastAsia="Arial" w:hAnsi="Arial"/>
          <w:b/>
          <w:bCs/>
          <w:color w:val="0F172A"/>
          <w:sz w:val="26"/>
          <w:szCs w:val="26"/>
        </w:rPr>
        <w:t xml:space="preserve">2.2 Data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ODOO Table</w:t>
            </w:r>
          </w:p>
        </w:tc>
        <w:tc>
          <w:tcPr>
            <w:tcW w:type="dxa" w:w="4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cyber.device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cyber_device</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Endpoint inventory, agent tokens, risk scoring, status tracking</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cyber.log</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cyber_log</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Immutable security events with HMAC-SHA256 hash chaining</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cyber.alert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cyber_alert</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Risk-classified alerts with SLA tracking and full lifecycle management</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cyber.vulnerability</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cyber_vulnerability</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CVE tracking with CVSS scoring per asset</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cyber.incident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cyber_incident</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Full incident lifecycle management aligned with ISO 27035</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cyber.report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cyber_report</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Audit report generation and approval workflow</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cyber.notification.channel</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cyber_notification_channel</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Notification channels: ODOO internal, email, webhook</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cyber.escalation.rule</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cyber_escalation_rule</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Configurable escalation rules with severity filters and repeat settings</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4F46E5"/>
                <w:sz w:val="20"/>
                <w:szCs w:val="20"/>
              </w:rPr>
              <w:t xml:space="preserve">cyber.notification</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cyber_notification</w:t>
            </w:r>
          </w:p>
        </w:tc>
        <w:tc>
          <w:tcPr>
            <w:tcW w:type="dxa" w:w="4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Full notification history with delivery status and retry capability</w:t>
            </w:r>
          </w:p>
        </w:tc>
      </w:tr>
    </w:tbl>
    <w:p>
      <w:pPr>
        <w:spacing w:after="60" w:before="60"/>
      </w:pPr>
      <w:r>
        <w:t xml:space="preserve"/>
      </w:r>
    </w:p>
    <w:p>
      <w:pPr>
        <w:pStyle w:val="Heading2"/>
        <w:spacing w:after="100" w:before="240"/>
      </w:pPr>
      <w:r>
        <w:rPr>
          <w:rFonts w:ascii="Arial" w:cs="Arial" w:eastAsia="Arial" w:hAnsi="Arial"/>
          <w:b/>
          <w:bCs/>
          <w:color w:val="0F172A"/>
          <w:sz w:val="26"/>
          <w:szCs w:val="26"/>
        </w:rPr>
        <w:t xml:space="preserve">2.3 RBAC Security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100"/>
        <w:gridCol w:w="1100"/>
        <w:gridCol w:w="1000"/>
      </w:tblGrid>
      <w:tr>
        <w:tc>
          <w:tcPr>
            <w:tcW w:type="dxa" w:w="2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1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Devices</w:t>
            </w:r>
          </w:p>
        </w:tc>
        <w:tc>
          <w:tcPr>
            <w:tcW w:type="dxa" w:w="11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Logs</w:t>
            </w:r>
          </w:p>
        </w:tc>
        <w:tc>
          <w:tcPr>
            <w:tcW w:type="dxa" w:w="11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Alerts</w:t>
            </w:r>
          </w:p>
        </w:tc>
        <w:tc>
          <w:tcPr>
            <w:tcW w:type="dxa" w:w="11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Incidents</w:t>
            </w:r>
          </w:p>
        </w:tc>
        <w:tc>
          <w:tcPr>
            <w:tcW w:type="dxa" w:w="11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Reports</w:t>
            </w:r>
          </w:p>
        </w:tc>
        <w:tc>
          <w:tcPr>
            <w:tcW w:type="dxa" w:w="1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Admin</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Senior Analyst</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R/W</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Full</w:t>
            </w:r>
          </w:p>
        </w:tc>
        <w:tc>
          <w:tcPr>
            <w:tcW w:type="dxa" w:w="1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Analyst</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R/W</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R/W</w:t>
            </w:r>
          </w:p>
        </w:tc>
        <w:tc>
          <w:tcPr>
            <w:tcW w:type="dxa" w:w="11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c>
          <w:tcPr>
            <w:tcW w:type="dxa" w:w="1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Auditor</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R/W</w:t>
            </w:r>
          </w:p>
        </w:tc>
        <w:tc>
          <w:tcPr>
            <w:tcW w:type="dxa" w:w="1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r>
      <w:tr>
        <w:tc>
          <w:tcPr>
            <w:tcW w:type="dxa" w:w="2500"/>
            <w:tcBorders>
              <w:top w:val="single" w:color="E2E8F0" w:sz="1"/>
              <w:left w:val="single" w:color="E2E8F0" w:sz="1"/>
              <w:bottom w:val="single" w:color="E2E8F0" w:sz="1"/>
              <w:right w:val="single" w:color="E2E8F0" w:sz="1"/>
            </w:tcBorders>
            <w:shd w:fill="EEF2FF" w:val="clear"/>
            <w:tcMar>
              <w:top w:type="dxa" w:w="80"/>
              <w:left w:type="dxa" w:w="120"/>
              <w:bottom w:type="dxa" w:w="80"/>
              <w:right w:type="dxa" w:w="120"/>
            </w:tcMar>
            <w:vAlign w:val="center"/>
          </w:tcPr>
          <w:p>
            <w:pPr>
              <w:jc w:val="left"/>
            </w:pPr>
            <w:r>
              <w:rPr>
                <w:rFonts w:ascii="Arial" w:cs="Arial" w:eastAsia="Arial" w:hAnsi="Arial"/>
                <w:b/>
                <w:bCs/>
                <w:color w:val="0F172A"/>
                <w:sz w:val="20"/>
                <w:szCs w:val="20"/>
              </w:rPr>
              <w:t xml:space="preserve">Read Only</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c>
          <w:tcPr>
            <w:tcW w:type="dxa" w:w="110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vAlign w:val="center"/>
          </w:tcPr>
          <w:p>
            <w:pPr>
              <w:jc w:val="left"/>
            </w:pPr>
            <w:r>
              <w:rPr>
                <w:rFonts w:ascii="Arial" w:cs="Arial" w:eastAsia="Arial" w:hAnsi="Arial"/>
                <w:b w:val="false"/>
                <w:bCs w:val="false"/>
                <w:color w:val="D97706"/>
                <w:sz w:val="20"/>
                <w:szCs w:val="20"/>
              </w:rPr>
              <w:t xml:space="preserve">Read</w:t>
            </w:r>
          </w:p>
        </w:tc>
        <w:tc>
          <w:tcPr>
            <w:tcW w:type="dxa" w:w="11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c>
          <w:tcPr>
            <w:tcW w:type="dxa" w:w="11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c>
          <w:tcPr>
            <w:tcW w:type="dxa" w:w="1000"/>
            <w:tcBorders>
              <w:top w:val="single" w:color="E2E8F0" w:sz="1"/>
              <w:left w:val="single" w:color="E2E8F0" w:sz="1"/>
              <w:bottom w:val="single" w:color="E2E8F0" w:sz="1"/>
              <w:right w:val="single" w:color="E2E8F0" w:sz="1"/>
            </w:tcBorders>
            <w:shd w:fill="FEF2F2" w:val="clear"/>
            <w:tcMar>
              <w:top w:type="dxa" w:w="80"/>
              <w:left w:type="dxa" w:w="120"/>
              <w:bottom w:type="dxa" w:w="80"/>
              <w:right w:type="dxa" w:w="120"/>
            </w:tcMar>
            <w:vAlign w:val="center"/>
          </w:tcPr>
          <w:p>
            <w:pPr>
              <w:jc w:val="left"/>
            </w:pPr>
            <w:r>
              <w:rPr>
                <w:rFonts w:ascii="Arial" w:cs="Arial" w:eastAsia="Arial" w:hAnsi="Arial"/>
                <w:b w:val="false"/>
                <w:bCs w:val="false"/>
                <w:color w:val="DC2626"/>
                <w:sz w:val="20"/>
                <w:szCs w:val="20"/>
              </w:rPr>
              <w:t xml:space="preserve">None</w:t>
            </w:r>
          </w:p>
        </w:tc>
      </w:tr>
    </w:tbl>
    <w:p>
      <w:pPr>
        <w:spacing w:after="120" w:before="120"/>
      </w:pPr>
      <w:r>
        <w:t xml:space="preserve"/>
      </w:r>
    </w:p>
    <w:p>
      <w:pPr>
        <w:pStyle w:val="Heading1"/>
        <w:spacing w:after="120" w:before="300"/>
      </w:pPr>
      <w:r>
        <w:rPr>
          <w:rFonts w:ascii="Arial" w:cs="Arial" w:eastAsia="Arial" w:hAnsi="Arial"/>
          <w:b/>
          <w:bCs/>
          <w:color w:val="4F46E5"/>
          <w:sz w:val="32"/>
          <w:szCs w:val="32"/>
        </w:rPr>
        <w:t xml:space="preserve">3. API Design</w:t>
      </w:r>
    </w:p>
    <w:p>
      <w:pPr>
        <w:pStyle w:val="Heading2"/>
        <w:spacing w:after="100" w:before="240"/>
      </w:pPr>
      <w:r>
        <w:rPr>
          <w:rFonts w:ascii="Arial" w:cs="Arial" w:eastAsia="Arial" w:hAnsi="Arial"/>
          <w:b/>
          <w:bCs/>
          <w:color w:val="0F172A"/>
          <w:sz w:val="26"/>
          <w:szCs w:val="26"/>
        </w:rPr>
        <w:t xml:space="preserve">3.1 Security Model</w:t>
      </w:r>
    </w:p>
    <w:p>
      <w:pPr>
        <w:pStyle w:val="ListParagraph"/>
        <w:numPr>
          <w:ilvl w:val="0"/>
          <w:numId w:val="2"/>
        </w:numPr>
        <w:spacing w:after="60" w:before="60"/>
      </w:pPr>
      <w:r>
        <w:rPr>
          <w:rFonts w:ascii="Arial" w:cs="Arial" w:eastAsia="Arial" w:hAnsi="Arial"/>
          <w:color w:val="0F172A"/>
          <w:sz w:val="22"/>
          <w:szCs w:val="22"/>
        </w:rPr>
        <w:t xml:space="preserve">Authentication: Agent token passed in X-CyberShield-Token header</w:t>
      </w:r>
    </w:p>
    <w:p>
      <w:pPr>
        <w:pStyle w:val="ListParagraph"/>
        <w:numPr>
          <w:ilvl w:val="0"/>
          <w:numId w:val="2"/>
        </w:numPr>
        <w:spacing w:after="60" w:before="60"/>
      </w:pPr>
      <w:r>
        <w:rPr>
          <w:rFonts w:ascii="Arial" w:cs="Arial" w:eastAsia="Arial" w:hAnsi="Arial"/>
          <w:color w:val="0F172A"/>
          <w:sz w:val="22"/>
          <w:szCs w:val="22"/>
        </w:rPr>
        <w:t xml:space="preserve">Integrity: HMAC-SHA256 signature of request body in X-CyberShield-Signature header</w:t>
      </w:r>
    </w:p>
    <w:p>
      <w:pPr>
        <w:pStyle w:val="ListParagraph"/>
        <w:numPr>
          <w:ilvl w:val="0"/>
          <w:numId w:val="2"/>
        </w:numPr>
        <w:spacing w:after="60" w:before="60"/>
      </w:pPr>
      <w:r>
        <w:rPr>
          <w:rFonts w:ascii="Arial" w:cs="Arial" w:eastAsia="Arial" w:hAnsi="Arial"/>
          <w:color w:val="0F172A"/>
          <w:sz w:val="22"/>
          <w:szCs w:val="22"/>
        </w:rPr>
        <w:t xml:space="preserve">Rate limiting: 1000 events per 60-second window per agent token (sliding window)</w:t>
      </w:r>
    </w:p>
    <w:p>
      <w:pPr>
        <w:pStyle w:val="ListParagraph"/>
        <w:numPr>
          <w:ilvl w:val="0"/>
          <w:numId w:val="2"/>
        </w:numPr>
        <w:spacing w:after="60" w:before="60"/>
      </w:pPr>
      <w:r>
        <w:rPr>
          <w:rFonts w:ascii="Arial" w:cs="Arial" w:eastAsia="Arial" w:hAnsi="Arial"/>
          <w:color w:val="0F172A"/>
          <w:sz w:val="22"/>
          <w:szCs w:val="22"/>
        </w:rPr>
        <w:t xml:space="preserve">Input validation: all fields sanitised, enum values validated against whitelist</w:t>
      </w:r>
    </w:p>
    <w:p>
      <w:pPr>
        <w:pStyle w:val="ListParagraph"/>
        <w:numPr>
          <w:ilvl w:val="0"/>
          <w:numId w:val="2"/>
        </w:numPr>
        <w:spacing w:after="60" w:before="60"/>
      </w:pPr>
      <w:r>
        <w:rPr>
          <w:rFonts w:ascii="Arial" w:cs="Arial" w:eastAsia="Arial" w:hAnsi="Arial"/>
          <w:color w:val="0F172A"/>
          <w:sz w:val="22"/>
          <w:szCs w:val="22"/>
        </w:rPr>
        <w:t xml:space="preserve">Zero Trust: every request independently authenticated regardless of source IP</w:t>
      </w:r>
    </w:p>
    <w:p>
      <w:pPr>
        <w:spacing w:after="60" w:before="60"/>
      </w:pPr>
      <w:r>
        <w:t xml:space="preserve"/>
      </w:r>
    </w:p>
    <w:p>
      <w:pPr>
        <w:pStyle w:val="Heading2"/>
        <w:spacing w:after="100" w:before="240"/>
      </w:pPr>
      <w:r>
        <w:rPr>
          <w:rFonts w:ascii="Arial" w:cs="Arial" w:eastAsia="Arial" w:hAnsi="Arial"/>
          <w:b/>
          <w:bCs/>
          <w:color w:val="0F172A"/>
          <w:sz w:val="26"/>
          <w:szCs w:val="26"/>
        </w:rPr>
        <w:t xml:space="preserve">3.2 Endpoints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3000"/>
      </w:tblGrid>
      <w:tr>
        <w:tc>
          <w:tcPr>
            <w:tcW w:type="dxa" w:w="1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15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 Required</w:t>
            </w:r>
          </w:p>
        </w:tc>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GET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/cybershield/api/v1/health</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Health check — returns system status</w:t>
            </w:r>
          </w:p>
        </w:tc>
      </w:tr>
      <w:tr>
        <w:tc>
          <w:tcPr>
            <w:tcW w:type="dxa" w:w="1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pPr>
              <w:jc w:val="left"/>
            </w:pPr>
            <w:r>
              <w:rPr>
                <w:rFonts w:ascii="Arial" w:cs="Arial" w:eastAsia="Arial" w:hAnsi="Arial"/>
                <w:b/>
                <w:bCs/>
                <w:color w:val="2563EB"/>
                <w:sz w:val="20"/>
                <w:szCs w:val="20"/>
              </w:rPr>
              <w:t xml:space="preserve">POST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/cybershield/api/v1/event</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Yes (HMAC)</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Ingest security event from agent</w:t>
            </w:r>
          </w:p>
        </w:tc>
      </w:tr>
      <w:tr>
        <w:tc>
          <w:tcPr>
            <w:tcW w:type="dxa" w:w="1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vAlign w:val="center"/>
          </w:tcPr>
          <w:p>
            <w:pPr>
              <w:jc w:val="left"/>
            </w:pPr>
            <w:r>
              <w:rPr>
                <w:rFonts w:ascii="Arial" w:cs="Arial" w:eastAsia="Arial" w:hAnsi="Arial"/>
                <w:b/>
                <w:bCs/>
                <w:color w:val="16A34A"/>
                <w:sz w:val="20"/>
                <w:szCs w:val="20"/>
              </w:rPr>
              <w:t xml:space="preserve">GET</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/cybershield/api/v1/device</w:t>
            </w:r>
          </w:p>
        </w:tc>
        <w:tc>
          <w:tcPr>
            <w:tcW w:type="dxa" w:w="15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Yes (Token)</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vAlign w:val="center"/>
          </w:tcPr>
          <w:p>
            <w:pPr>
              <w:jc w:val="left"/>
            </w:pPr>
            <w:r>
              <w:rPr>
                <w:rFonts w:ascii="Arial" w:cs="Arial" w:eastAsia="Arial" w:hAnsi="Arial"/>
                <w:b w:val="false"/>
                <w:bCs w:val="false"/>
                <w:color w:val="0F172A"/>
                <w:sz w:val="20"/>
                <w:szCs w:val="20"/>
              </w:rPr>
              <w:t xml:space="preserve">Get device info for authenticated agent</w:t>
            </w:r>
          </w:p>
        </w:tc>
      </w:tr>
    </w:tbl>
    <w:p>
      <w:pPr>
        <w:spacing w:after="120" w:before="120"/>
      </w:pPr>
      <w:r>
        <w:t xml:space="preserve"/>
      </w:r>
    </w:p>
    <w:p>
      <w:pPr>
        <w:pStyle w:val="Heading1"/>
        <w:spacing w:after="120" w:before="300"/>
      </w:pPr>
      <w:r>
        <w:rPr>
          <w:rFonts w:ascii="Arial" w:cs="Arial" w:eastAsia="Arial" w:hAnsi="Arial"/>
          <w:b/>
          <w:bCs/>
          <w:color w:val="4F46E5"/>
          <w:sz w:val="32"/>
          <w:szCs w:val="32"/>
        </w:rPr>
        <w:t xml:space="preserve">4. Security Design Decisions</w:t>
      </w:r>
    </w:p>
    <w:p>
      <w:pPr>
        <w:pStyle w:val="Heading2"/>
        <w:spacing w:after="100" w:before="240"/>
      </w:pPr>
      <w:r>
        <w:rPr>
          <w:rFonts w:ascii="Arial" w:cs="Arial" w:eastAsia="Arial" w:hAnsi="Arial"/>
          <w:b/>
          <w:bCs/>
          <w:color w:val="0F172A"/>
          <w:sz w:val="26"/>
          <w:szCs w:val="26"/>
        </w:rPr>
        <w:t xml:space="preserve">4.1 Immutable Audit Logs</w:t>
      </w:r>
    </w:p>
    <w:p>
      <w:pPr>
        <w:spacing w:after="80" w:before="80"/>
        <w:jc w:val="left"/>
      </w:pPr>
      <w:r>
        <w:rPr>
          <w:rFonts w:ascii="Arial" w:cs="Arial" w:eastAsia="Arial" w:hAnsi="Arial"/>
          <w:b w:val="false"/>
          <w:bCs w:val="false"/>
          <w:i w:val="false"/>
          <w:iCs w:val="false"/>
          <w:color w:val="0F172A"/>
          <w:sz w:val="22"/>
          <w:szCs w:val="22"/>
        </w:rPr>
        <w:t xml:space="preserve">The cyber.log model overrides the write() and unlink() methods from ODOO's ORM, raising an AccessError on any attempt to modify or delete a log record. This is enforced at the Python level, not just via ACL rules, making it impossible to bypass through the UI, API, or direct ORM calls. The only way to insert logs is via the dedicated API endpoint with valid agent authentication.</w:t>
      </w:r>
    </w:p>
    <w:p>
      <w:pPr>
        <w:pStyle w:val="Heading2"/>
        <w:spacing w:after="100" w:before="240"/>
      </w:pPr>
      <w:r>
        <w:rPr>
          <w:rFonts w:ascii="Arial" w:cs="Arial" w:eastAsia="Arial" w:hAnsi="Arial"/>
          <w:b/>
          <w:bCs/>
          <w:color w:val="0F172A"/>
          <w:sz w:val="26"/>
          <w:szCs w:val="26"/>
        </w:rPr>
        <w:t xml:space="preserve">4.2 Hash Chaining</w:t>
      </w:r>
    </w:p>
    <w:p>
      <w:pPr>
        <w:spacing w:after="80" w:before="80"/>
        <w:jc w:val="left"/>
      </w:pPr>
      <w:r>
        <w:rPr>
          <w:rFonts w:ascii="Arial" w:cs="Arial" w:eastAsia="Arial" w:hAnsi="Arial"/>
          <w:b w:val="false"/>
          <w:bCs w:val="false"/>
          <w:i w:val="false"/>
          <w:iCs w:val="false"/>
          <w:color w:val="0F172A"/>
          <w:sz w:val="22"/>
          <w:szCs w:val="22"/>
        </w:rPr>
        <w:t xml:space="preserve">Each log entry's HMAC-SHA256 hash includes the previous entry's hash as part of the canonical payload. This creates a hash chain where any tampering with a historical record would invalidate all subsequent hashes, making tampering detectable. The canonical payload is JSON-serialised with sorted keys to ensure deterministic hashing.</w:t>
      </w:r>
    </w:p>
    <w:p>
      <w:pPr>
        <w:pStyle w:val="Heading2"/>
        <w:spacing w:after="100" w:before="240"/>
      </w:pPr>
      <w:r>
        <w:rPr>
          <w:rFonts w:ascii="Arial" w:cs="Arial" w:eastAsia="Arial" w:hAnsi="Arial"/>
          <w:b/>
          <w:bCs/>
          <w:color w:val="0F172A"/>
          <w:sz w:val="26"/>
          <w:szCs w:val="26"/>
        </w:rPr>
        <w:t xml:space="preserve">4.3 Zero Trust Device Authentication</w:t>
      </w:r>
    </w:p>
    <w:p>
      <w:pPr>
        <w:spacing w:after="80" w:before="80"/>
        <w:jc w:val="left"/>
      </w:pPr>
      <w:r>
        <w:rPr>
          <w:rFonts w:ascii="Arial" w:cs="Arial" w:eastAsia="Arial" w:hAnsi="Arial"/>
          <w:b w:val="false"/>
          <w:bCs w:val="false"/>
          <w:i w:val="false"/>
          <w:iCs w:val="false"/>
          <w:color w:val="0F172A"/>
          <w:sz w:val="22"/>
          <w:szCs w:val="22"/>
        </w:rPr>
        <w:t xml:space="preserve">Each device has a unique agent token generated using UUID4 salt + SHA-256. Tokens are never transmitted in plaintext and are only visible to CyberShield Administrators in the ODOO interface. The API verifies both the token (identity) and the HMAC signature (request integrity) on every single request.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1"/>
      </w:pBdr>
      <w:tabs>
        <w:tab w:val="center" w:pos="4500"/>
        <w:tab w:val="right" w:pos="9026"/>
      </w:tabs>
    </w:pPr>
    <w:r>
      <w:rPr>
        <w:rFonts w:ascii="Arial" w:cs="Arial" w:eastAsia="Arial" w:hAnsi="Arial"/>
        <w:color w:val="64748B"/>
        <w:sz w:val="16"/>
        <w:szCs w:val="16"/>
      </w:rPr>
      <w:t xml:space="preserve">Copyright © 2025 Francisco José Jiménez Pozo — Confidential</w:t>
    </w:r>
    <w:r>
      <w:rPr>
        <w:rFonts w:ascii="Arial" w:cs="Arial" w:eastAsia="Arial" w:hAnsi="Arial"/>
      </w:rPr>
      <w:t xml:space="preserve">	</w:t>
    </w:r>
    <w:r>
      <w:rPr>
        <w:rFonts w:ascii="Arial" w:cs="Arial" w:eastAsia="Arial" w:hAnsi="Arial"/>
        <w:color w:val="64748B"/>
        <w:sz w:val="16"/>
        <w:szCs w:val="16"/>
      </w:rPr>
      <w:t xml:space="preserve">28/5/2026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tabs>
        <w:tab w:val="right" w:pos="9026"/>
      </w:tabs>
    </w:pPr>
    <w:r>
      <w:rPr>
        <w:rFonts w:ascii="Arial" w:cs="Arial" w:eastAsia="Arial" w:hAnsi="Arial"/>
        <w:color w:val="64748B"/>
        <w:sz w:val="18"/>
        <w:szCs w:val="18"/>
      </w:rPr>
      <w:t xml:space="preserve">CyberShield — </w:t>
    </w:r>
    <w:r>
      <w:rPr>
        <w:rFonts w:ascii="Arial" w:cs="Arial" w:eastAsia="Arial" w:hAnsi="Arial"/>
        <w:b/>
        <w:bCs/>
        <w:color w:val="4F46E5"/>
        <w:sz w:val="18"/>
        <w:szCs w:val="18"/>
      </w:rPr>
      <w:t xml:space="preserve">SDD</w:t>
    </w:r>
    <w:r>
      <w:rPr>
        <w:rFonts w:ascii="Arial" w:cs="Arial" w:eastAsia="Arial" w:hAnsi="Arial"/>
      </w:rPr>
      <w:t xml:space="preserve">	</w:t>
    </w:r>
    <w:r>
      <w:rPr>
        <w:rFonts w:ascii="Arial" w:cs="Arial" w:eastAsia="Arial" w:hAnsi="Arial"/>
        <w:color w:val="64748B"/>
        <w:sz w:val="16"/>
        <w:szCs w:val="16"/>
      </w:rPr>
      <w:t xml:space="preserve">CS-SDD-002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4" w:space="1"/>
      </w:pBdr>
      <w:spacing w:after="120" w:before="300"/>
      <w:outlineLvl w:val="0"/>
    </w:pPr>
    <w:rPr>
      <w:rFonts w:ascii="Arial" w:cs="Arial" w:eastAsia="Arial" w:hAnsi="Arial"/>
      <w:b/>
      <w:bCs/>
      <w:color w:val="4F46E5"/>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2026-05-28T22:43:06.474Z</dcterms:created>
  <dcterms:modified xsi:type="dcterms:W3CDTF">2026-05-28T22:43:06.474Z</dcterms:modified>
</cp:coreProperties>
</file>

<file path=docProps/custom.xml><?xml version="1.0" encoding="utf-8"?>
<Properties xmlns="http://schemas.openxmlformats.org/officeDocument/2006/custom-properties" xmlns:vt="http://schemas.openxmlformats.org/officeDocument/2006/docPropsVTypes"/>
</file>