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F46E5" w:val="clear"/>
        <w:spacing w:after="0" w:before="1200"/>
        <w:jc w:val="center"/>
      </w:pPr>
      <w:r>
        <w:rPr>
          <w:rFonts w:ascii="Arial" w:cs="Arial" w:eastAsia="Arial" w:hAnsi="Arial"/>
          <w:b/>
          <w:bCs/>
          <w:color w:val="C7D2FE"/>
          <w:sz w:val="28"/>
          <w:szCs w:val="28"/>
        </w:rPr>
        <w:t xml:space="preserve">🛡️  CYBERSHIELD</w:t>
      </w:r>
    </w:p>
    <w:p>
      <w:pPr>
        <w:shd w:fill="4F46E5" w:val="clear"/>
        <w:spacing w:after="0" w:before="0"/>
        <w:jc w:val="center"/>
      </w:pPr>
      <w:r>
        <w:rPr>
          <w:rFonts w:ascii="Arial" w:cs="Arial" w:eastAsia="Arial" w:hAnsi="Arial"/>
          <w:b/>
          <w:bCs/>
          <w:color w:val="FFFFFF"/>
          <w:sz w:val="48"/>
          <w:szCs w:val="48"/>
        </w:rPr>
        <w:t xml:space="preserve">User Manual</w:t>
      </w:r>
    </w:p>
    <w:p>
      <w:pPr>
        <w:shd w:fill="4F46E5" w:val="clear"/>
        <w:spacing w:after="0" w:before="80"/>
        <w:jc w:val="center"/>
      </w:pPr>
      <w:r>
        <w:rPr>
          <w:rFonts w:ascii="Arial" w:cs="Arial" w:eastAsia="Arial" w:hAnsi="Arial"/>
          <w:color w:val="C7D2FE"/>
          <w:sz w:val="26"/>
          <w:szCs w:val="26"/>
        </w:rPr>
        <w:t xml:space="preserve">Complete Guide for End Users</w:t>
      </w:r>
    </w:p>
    <w:p>
      <w:pPr>
        <w:shd w:fill="4F46E5" w:val="clear"/>
        <w:spacing w:after="0" w:before="240"/>
        <w:jc w:val="center"/>
      </w:pPr>
      <w:r>
        <w:rPr>
          <w:rFonts w:ascii="Arial" w:cs="Arial" w:eastAsia="Arial" w:hAnsi="Arial"/>
          <w:color w:val="A5B4FC"/>
          <w:sz w:val="18"/>
          <w:szCs w:val="18"/>
        </w:rPr>
        <w:t xml:space="preserve">CS-USR-003  |  v1.0  |  28/5/2026  |  CONFIDENTIAL</w:t>
      </w:r>
    </w:p>
    <w:p>
      <w:pPr>
        <w:shd w:fill="4F46E5" w:val="clear"/>
        <w:spacing w:after="1200" w:before="0"/>
        <w:jc w:val="center"/>
      </w:pPr>
      <w:r>
        <w:rPr>
          <w:rFonts w:ascii="Arial" w:cs="Arial" w:eastAsia="Arial" w:hAnsi="Arial"/>
          <w:color w:val="A5B4FC"/>
          <w:sz w:val="18"/>
          <w:szCs w:val="18"/>
        </w:rPr>
        <w:t xml:space="preserve">Francisco José Jiménez Pozo  |  fjjpozo075@gmail.com  |  github.com/franjmenezz</w:t>
      </w:r>
    </w:p>
    <w:p>
      <w:r>
        <w:br w:type="page"/>
      </w:r>
    </w:p>
    <w:p>
      <w:pPr>
        <w:pStyle w:val="Heading1"/>
        <w:spacing w:after="120" w:before="300"/>
      </w:pPr>
      <w:r>
        <w:rPr>
          <w:rFonts w:ascii="Arial" w:cs="Arial" w:eastAsia="Arial" w:hAnsi="Arial"/>
          <w:b/>
          <w:bCs/>
          <w:color w:val="4F46E5"/>
          <w:sz w:val="32"/>
          <w:szCs w:val="32"/>
        </w:rPr>
        <w:t xml:space="preserve">1. Introduction</w:t>
      </w:r>
    </w:p>
    <w:p>
      <w:pPr>
        <w:spacing w:after="80" w:before="80"/>
        <w:jc w:val="left"/>
      </w:pPr>
      <w:r>
        <w:rPr>
          <w:rFonts w:ascii="Arial" w:cs="Arial" w:eastAsia="Arial" w:hAnsi="Arial"/>
          <w:b w:val="false"/>
          <w:bCs w:val="false"/>
          <w:i w:val="false"/>
          <w:iCs w:val="false"/>
          <w:color w:val="0F172A"/>
          <w:sz w:val="22"/>
          <w:szCs w:val="22"/>
        </w:rPr>
        <w:t xml:space="preserve">Welcome to CyberShield — the enterprise security monitoring module for ODOO 18. This manual guides you through using CyberShield to monitor the security of your organisation's IT infrastructure directly from your ODOO interface.</w:t>
      </w:r>
    </w:p>
    <w:p>
      <w:pPr>
        <w:pStyle w:val="Heading2"/>
        <w:spacing w:after="100" w:before="240"/>
      </w:pPr>
      <w:r>
        <w:rPr>
          <w:rFonts w:ascii="Arial" w:cs="Arial" w:eastAsia="Arial" w:hAnsi="Arial"/>
          <w:b/>
          <w:bCs/>
          <w:color w:val="0F172A"/>
          <w:sz w:val="26"/>
          <w:szCs w:val="26"/>
        </w:rPr>
        <w:t xml:space="preserve">1.1 What is CyberShield?</w:t>
      </w:r>
    </w:p>
    <w:p>
      <w:pPr>
        <w:spacing w:after="80" w:before="80"/>
        <w:jc w:val="left"/>
      </w:pPr>
      <w:r>
        <w:rPr>
          <w:rFonts w:ascii="Arial" w:cs="Arial" w:eastAsia="Arial" w:hAnsi="Arial"/>
          <w:b w:val="false"/>
          <w:bCs w:val="false"/>
          <w:i w:val="false"/>
          <w:iCs w:val="false"/>
          <w:color w:val="0F172A"/>
          <w:sz w:val="22"/>
          <w:szCs w:val="22"/>
        </w:rPr>
        <w:t xml:space="preserve">CyberShield is a Security Information and Event Management (SIEM) system built natively into ODOO 18. It monitors every computer and server in your organisation in real time and alerts you immediately if anything suspicious happens — such as unauthorised access attempts, suspicious network activity, or potential malware.</w:t>
      </w:r>
    </w:p>
    <w:p>
      <w:pPr>
        <w:pStyle w:val="Heading2"/>
        <w:spacing w:after="100" w:before="240"/>
      </w:pPr>
      <w:r>
        <w:rPr>
          <w:rFonts w:ascii="Arial" w:cs="Arial" w:eastAsia="Arial" w:hAnsi="Arial"/>
          <w:b/>
          <w:bCs/>
          <w:color w:val="0F172A"/>
          <w:sz w:val="26"/>
          <w:szCs w:val="26"/>
        </w:rPr>
        <w:t xml:space="preserve">1.2 Accessing CyberShield</w:t>
      </w:r>
    </w:p>
    <w:p>
      <w:pPr>
        <w:spacing w:after="80" w:before="80"/>
        <w:jc w:val="left"/>
      </w:pPr>
      <w:r>
        <w:rPr>
          <w:rFonts w:ascii="Arial" w:cs="Arial" w:eastAsia="Arial" w:hAnsi="Arial"/>
          <w:b w:val="false"/>
          <w:bCs w:val="false"/>
          <w:i w:val="false"/>
          <w:iCs w:val="false"/>
          <w:color w:val="0F172A"/>
          <w:sz w:val="22"/>
          <w:szCs w:val="22"/>
        </w:rPr>
        <w:t xml:space="preserve">To open CyberShield, click on the "CyberShield" item in the ODOO main menu (top navigation bar). You will see the Dashboard as your starting point.</w:t>
      </w:r>
    </w:p>
    <w:p>
      <w:pPr>
        <w:spacing w:after="60" w:before="60"/>
      </w:pPr>
      <w:r>
        <w:t xml:space="preserve"/>
      </w:r>
    </w:p>
    <w:p>
      <w:pPr>
        <w:pStyle w:val="Heading1"/>
        <w:spacing w:after="120" w:before="300"/>
      </w:pPr>
      <w:r>
        <w:rPr>
          <w:rFonts w:ascii="Arial" w:cs="Arial" w:eastAsia="Arial" w:hAnsi="Arial"/>
          <w:b/>
          <w:bCs/>
          <w:color w:val="4F46E5"/>
          <w:sz w:val="32"/>
          <w:szCs w:val="32"/>
        </w:rPr>
        <w:t xml:space="preserve">2. Dashboard</w:t>
      </w:r>
    </w:p>
    <w:p>
      <w:pPr>
        <w:spacing w:after="80" w:before="80"/>
        <w:jc w:val="left"/>
      </w:pPr>
      <w:r>
        <w:rPr>
          <w:rFonts w:ascii="Arial" w:cs="Arial" w:eastAsia="Arial" w:hAnsi="Arial"/>
          <w:b w:val="false"/>
          <w:bCs w:val="false"/>
          <w:i w:val="false"/>
          <w:iCs w:val="false"/>
          <w:color w:val="0F172A"/>
          <w:sz w:val="22"/>
          <w:szCs w:val="22"/>
        </w:rPr>
        <w:t xml:space="preserve">The Dashboard provides a real-time overview of your organisation's security posture. At the top you will see quick-access buttons to the most important sections.</w:t>
      </w:r>
    </w:p>
    <w:p>
      <w:pPr>
        <w:pStyle w:val="Heading2"/>
        <w:spacing w:after="100" w:before="240"/>
      </w:pPr>
      <w:r>
        <w:rPr>
          <w:rFonts w:ascii="Arial" w:cs="Arial" w:eastAsia="Arial" w:hAnsi="Arial"/>
          <w:b/>
          <w:bCs/>
          <w:color w:val="0F172A"/>
          <w:sz w:val="26"/>
          <w:szCs w:val="26"/>
        </w:rPr>
        <w:t xml:space="preserve">2.1 Understanding the Dashboard</w:t>
      </w:r>
    </w:p>
    <w:p>
      <w:pPr>
        <w:pStyle w:val="ListParagraph"/>
        <w:numPr>
          <w:ilvl w:val="0"/>
          <w:numId w:val="2"/>
        </w:numPr>
        <w:spacing w:after="60" w:before="60"/>
      </w:pPr>
      <w:r>
        <w:rPr>
          <w:rFonts w:ascii="Arial" w:cs="Arial" w:eastAsia="Arial" w:hAnsi="Arial"/>
          <w:color w:val="0F172A"/>
          <w:sz w:val="22"/>
          <w:szCs w:val="22"/>
        </w:rPr>
        <w:t xml:space="preserve">The dashboard shows all currently open (unresolved) alerts sorted by severity</w:t>
      </w:r>
    </w:p>
    <w:p>
      <w:pPr>
        <w:pStyle w:val="ListParagraph"/>
        <w:numPr>
          <w:ilvl w:val="0"/>
          <w:numId w:val="2"/>
        </w:numPr>
        <w:spacing w:after="60" w:before="60"/>
      </w:pPr>
      <w:r>
        <w:rPr>
          <w:rFonts w:ascii="Arial" w:cs="Arial" w:eastAsia="Arial" w:hAnsi="Arial"/>
          <w:color w:val="0F172A"/>
          <w:sz w:val="22"/>
          <w:szCs w:val="22"/>
        </w:rPr>
        <w:t xml:space="preserve">Critical alerts (red) require immediate attention — do not ignore them</w:t>
      </w:r>
    </w:p>
    <w:p>
      <w:pPr>
        <w:pStyle w:val="ListParagraph"/>
        <w:numPr>
          <w:ilvl w:val="0"/>
          <w:numId w:val="2"/>
        </w:numPr>
        <w:spacing w:after="60" w:before="60"/>
      </w:pPr>
      <w:r>
        <w:rPr>
          <w:rFonts w:ascii="Arial" w:cs="Arial" w:eastAsia="Arial" w:hAnsi="Arial"/>
          <w:color w:val="0F172A"/>
          <w:sz w:val="22"/>
          <w:szCs w:val="22"/>
        </w:rPr>
        <w:t xml:space="preserve">Use the Quick Actions buttons to navigate to each section</w:t>
      </w:r>
    </w:p>
    <w:p>
      <w:pPr>
        <w:spacing w:after="60" w:before="60"/>
      </w:pPr>
      <w:r>
        <w:t xml:space="preserve"/>
      </w:r>
    </w:p>
    <w:p>
      <w:pPr>
        <w:pStyle w:val="Heading1"/>
        <w:spacing w:after="120" w:before="300"/>
      </w:pPr>
      <w:r>
        <w:rPr>
          <w:rFonts w:ascii="Arial" w:cs="Arial" w:eastAsia="Arial" w:hAnsi="Arial"/>
          <w:b/>
          <w:bCs/>
          <w:color w:val="4F46E5"/>
          <w:sz w:val="32"/>
          <w:szCs w:val="32"/>
        </w:rPr>
        <w:t xml:space="preserve">3. Devices</w:t>
      </w:r>
    </w:p>
    <w:p>
      <w:pPr>
        <w:pStyle w:val="Heading2"/>
        <w:spacing w:after="100" w:before="240"/>
      </w:pPr>
      <w:r>
        <w:rPr>
          <w:rFonts w:ascii="Arial" w:cs="Arial" w:eastAsia="Arial" w:hAnsi="Arial"/>
          <w:b/>
          <w:bCs/>
          <w:color w:val="0F172A"/>
          <w:sz w:val="26"/>
          <w:szCs w:val="26"/>
        </w:rPr>
        <w:t xml:space="preserve">3.1 Workstations</w:t>
      </w:r>
    </w:p>
    <w:p>
      <w:pPr>
        <w:spacing w:after="80" w:before="80"/>
        <w:jc w:val="left"/>
      </w:pPr>
      <w:r>
        <w:rPr>
          <w:rFonts w:ascii="Arial" w:cs="Arial" w:eastAsia="Arial" w:hAnsi="Arial"/>
          <w:b w:val="false"/>
          <w:bCs w:val="false"/>
          <w:i w:val="false"/>
          <w:iCs w:val="false"/>
          <w:color w:val="0F172A"/>
          <w:sz w:val="22"/>
          <w:szCs w:val="22"/>
        </w:rPr>
        <w:t xml:space="preserve">Navigate to CyberShield → Devices → Workstations to see all monitored PCs and laptops. Each card shows the device name, department, IP address, risk score and current status.</w:t>
      </w:r>
    </w:p>
    <w:p>
      <w:pPr>
        <w:pStyle w:val="Heading2"/>
        <w:spacing w:after="100" w:before="240"/>
      </w:pPr>
      <w:r>
        <w:rPr>
          <w:rFonts w:ascii="Arial" w:cs="Arial" w:eastAsia="Arial" w:hAnsi="Arial"/>
          <w:b/>
          <w:bCs/>
          <w:color w:val="0F172A"/>
          <w:sz w:val="26"/>
          <w:szCs w:val="26"/>
        </w:rPr>
        <w:t xml:space="preserve">3.2 Understanding the Risk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00"/>
      </w:tblGrid>
      <w:tr>
        <w:tc>
          <w:tcPr>
            <w:tcW w:type="dxa" w:w="15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2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55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w:t>
            </w:r>
          </w:p>
        </w:tc>
      </w:tr>
      <w:tr>
        <w:tc>
          <w:tcPr>
            <w:tcW w:type="dxa" w:w="15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70-100</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HIGH RISK</w:t>
            </w:r>
          </w:p>
        </w:tc>
        <w:tc>
          <w:tcPr>
            <w:tcW w:type="dxa" w:w="5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Device has critical open alerts or high-severity vulnerabilities. Requires immediate attention.</w:t>
            </w:r>
          </w:p>
        </w:tc>
      </w:tr>
      <w:tr>
        <w:tc>
          <w:tcPr>
            <w:tcW w:type="dxa" w:w="15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40-69</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MEDIUM RISK</w:t>
            </w:r>
          </w:p>
        </w:tc>
        <w:tc>
          <w:tcPr>
            <w:tcW w:type="dxa" w:w="5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Device has open alerts that should be investigated soon.</w:t>
            </w:r>
          </w:p>
        </w:tc>
      </w:tr>
      <w:tr>
        <w:tc>
          <w:tcPr>
            <w:tcW w:type="dxa" w:w="15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0-39</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LOW RISK</w:t>
            </w:r>
          </w:p>
        </w:tc>
        <w:tc>
          <w:tcPr>
            <w:tcW w:type="dxa" w:w="5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Device is in good security posture. Continue monitoring.</w:t>
            </w:r>
          </w:p>
        </w:tc>
      </w:tr>
    </w:tbl>
    <w:p>
      <w:pPr>
        <w:spacing w:after="60" w:before="60"/>
      </w:pPr>
      <w:r>
        <w:t xml:space="preserve"/>
      </w:r>
    </w:p>
    <w:p>
      <w:pPr>
        <w:pStyle w:val="Heading1"/>
        <w:spacing w:after="120" w:before="300"/>
      </w:pPr>
      <w:r>
        <w:rPr>
          <w:rFonts w:ascii="Arial" w:cs="Arial" w:eastAsia="Arial" w:hAnsi="Arial"/>
          <w:b/>
          <w:bCs/>
          <w:color w:val="4F46E5"/>
          <w:sz w:val="32"/>
          <w:szCs w:val="32"/>
        </w:rPr>
        <w:t xml:space="preserve">4. Activity Logs</w:t>
      </w:r>
    </w:p>
    <w:p>
      <w:pPr>
        <w:spacing w:after="80" w:before="80"/>
        <w:jc w:val="left"/>
      </w:pPr>
      <w:r>
        <w:rPr>
          <w:rFonts w:ascii="Arial" w:cs="Arial" w:eastAsia="Arial" w:hAnsi="Arial"/>
          <w:b w:val="false"/>
          <w:bCs w:val="false"/>
          <w:i w:val="false"/>
          <w:iCs w:val="false"/>
          <w:color w:val="0F172A"/>
          <w:sz w:val="22"/>
          <w:szCs w:val="22"/>
        </w:rPr>
        <w:t xml:space="preserve">Logs record every security event detected on each device. They are immutable — they cannot be modified or deleted after creation, ensuring a reliable audit trail.</w:t>
      </w:r>
    </w:p>
    <w:p>
      <w:pPr>
        <w:pStyle w:val="Heading2"/>
        <w:spacing w:after="100" w:before="240"/>
      </w:pPr>
      <w:r>
        <w:rPr>
          <w:rFonts w:ascii="Arial" w:cs="Arial" w:eastAsia="Arial" w:hAnsi="Arial"/>
          <w:b/>
          <w:bCs/>
          <w:color w:val="0F172A"/>
          <w:sz w:val="26"/>
          <w:szCs w:val="26"/>
        </w:rPr>
        <w:t xml:space="preserve">4.1 Reading a Log Entry</w:t>
      </w:r>
    </w:p>
    <w:p>
      <w:pPr>
        <w:pStyle w:val="ListParagraph"/>
        <w:numPr>
          <w:ilvl w:val="0"/>
          <w:numId w:val="2"/>
        </w:numPr>
        <w:spacing w:after="60" w:before="60"/>
      </w:pPr>
      <w:r>
        <w:rPr>
          <w:rFonts w:ascii="Arial" w:cs="Arial" w:eastAsia="Arial" w:hAnsi="Arial"/>
          <w:color w:val="0F172A"/>
          <w:sz w:val="22"/>
          <w:szCs w:val="22"/>
        </w:rPr>
        <w:t xml:space="preserve">Timestamp — when the event occurred</w:t>
      </w:r>
    </w:p>
    <w:p>
      <w:pPr>
        <w:pStyle w:val="ListParagraph"/>
        <w:numPr>
          <w:ilvl w:val="0"/>
          <w:numId w:val="2"/>
        </w:numPr>
        <w:spacing w:after="60" w:before="60"/>
      </w:pPr>
      <w:r>
        <w:rPr>
          <w:rFonts w:ascii="Arial" w:cs="Arial" w:eastAsia="Arial" w:hAnsi="Arial"/>
          <w:color w:val="0F172A"/>
          <w:sz w:val="22"/>
          <w:szCs w:val="22"/>
        </w:rPr>
        <w:t xml:space="preserve">Device — which computer generated the event</w:t>
      </w:r>
    </w:p>
    <w:p>
      <w:pPr>
        <w:pStyle w:val="ListParagraph"/>
        <w:numPr>
          <w:ilvl w:val="0"/>
          <w:numId w:val="2"/>
        </w:numPr>
        <w:spacing w:after="60" w:before="60"/>
      </w:pPr>
      <w:r>
        <w:rPr>
          <w:rFonts w:ascii="Arial" w:cs="Arial" w:eastAsia="Arial" w:hAnsi="Arial"/>
          <w:color w:val="0F172A"/>
          <w:sz w:val="22"/>
          <w:szCs w:val="22"/>
        </w:rPr>
        <w:t xml:space="preserve">Event Type — what happened (login, file access, network connection, etc.)</w:t>
      </w:r>
    </w:p>
    <w:p>
      <w:pPr>
        <w:pStyle w:val="ListParagraph"/>
        <w:numPr>
          <w:ilvl w:val="0"/>
          <w:numId w:val="2"/>
        </w:numPr>
        <w:spacing w:after="60" w:before="60"/>
      </w:pPr>
      <w:r>
        <w:rPr>
          <w:rFonts w:ascii="Arial" w:cs="Arial" w:eastAsia="Arial" w:hAnsi="Arial"/>
          <w:color w:val="0F172A"/>
          <w:sz w:val="22"/>
          <w:szCs w:val="22"/>
        </w:rPr>
        <w:t xml:space="preserve">Severity — how serious the event is (Critical / High / Medium / Low / Info)</w:t>
      </w:r>
    </w:p>
    <w:p>
      <w:pPr>
        <w:pStyle w:val="ListParagraph"/>
        <w:numPr>
          <w:ilvl w:val="0"/>
          <w:numId w:val="2"/>
        </w:numPr>
        <w:spacing w:after="60" w:before="60"/>
      </w:pPr>
      <w:r>
        <w:rPr>
          <w:rFonts w:ascii="Arial" w:cs="Arial" w:eastAsia="Arial" w:hAnsi="Arial"/>
          <w:color w:val="0F172A"/>
          <w:sz w:val="22"/>
          <w:szCs w:val="22"/>
        </w:rPr>
        <w:t xml:space="preserve">Description — detailed explanation of what occurred</w:t>
      </w:r>
    </w:p>
    <w:p>
      <w:pPr>
        <w:pStyle w:val="ListParagraph"/>
        <w:numPr>
          <w:ilvl w:val="0"/>
          <w:numId w:val="2"/>
        </w:numPr>
        <w:spacing w:after="60" w:before="60"/>
      </w:pPr>
      <w:r>
        <w:rPr>
          <w:rFonts w:ascii="Arial" w:cs="Arial" w:eastAsia="Arial" w:hAnsi="Arial"/>
          <w:color w:val="0F172A"/>
          <w:sz w:val="22"/>
          <w:szCs w:val="22"/>
        </w:rPr>
        <w:t xml:space="preserve">MITRE Tactic — the attack technique category (if applicable)</w:t>
      </w:r>
    </w:p>
    <w:p>
      <w:pPr>
        <w:pStyle w:val="Heading2"/>
        <w:spacing w:after="100" w:before="240"/>
      </w:pPr>
      <w:r>
        <w:rPr>
          <w:rFonts w:ascii="Arial" w:cs="Arial" w:eastAsia="Arial" w:hAnsi="Arial"/>
          <w:b/>
          <w:bCs/>
          <w:color w:val="0F172A"/>
          <w:sz w:val="26"/>
          <w:szCs w:val="26"/>
        </w:rPr>
        <w:t xml:space="preserve">4.2 Verifying Log Integrity</w:t>
      </w:r>
    </w:p>
    <w:p>
      <w:pPr>
        <w:spacing w:after="80" w:before="80"/>
        <w:jc w:val="left"/>
      </w:pPr>
      <w:r>
        <w:rPr>
          <w:rFonts w:ascii="Arial" w:cs="Arial" w:eastAsia="Arial" w:hAnsi="Arial"/>
          <w:b w:val="false"/>
          <w:bCs w:val="false"/>
          <w:i w:val="false"/>
          <w:iCs w:val="false"/>
          <w:color w:val="0F172A"/>
          <w:sz w:val="22"/>
          <w:szCs w:val="22"/>
        </w:rPr>
        <w:t xml:space="preserve">Open any log entry and click the "Verify Integrity" button at the bottom. The system will confirm whether the log entry has been tampered with or is intact.</w:t>
      </w:r>
    </w:p>
    <w:p>
      <w:pPr>
        <w:spacing w:after="60" w:before="60"/>
      </w:pPr>
      <w:r>
        <w:t xml:space="preserve"/>
      </w:r>
    </w:p>
    <w:p>
      <w:pPr>
        <w:pStyle w:val="Heading1"/>
        <w:spacing w:after="120" w:before="300"/>
      </w:pPr>
      <w:r>
        <w:rPr>
          <w:rFonts w:ascii="Arial" w:cs="Arial" w:eastAsia="Arial" w:hAnsi="Arial"/>
          <w:b/>
          <w:bCs/>
          <w:color w:val="4F46E5"/>
          <w:sz w:val="32"/>
          <w:szCs w:val="32"/>
        </w:rPr>
        <w:t xml:space="preserve">5. Alerts</w:t>
      </w:r>
    </w:p>
    <w:p>
      <w:pPr>
        <w:pStyle w:val="Heading2"/>
        <w:spacing w:after="100" w:before="240"/>
      </w:pPr>
      <w:r>
        <w:rPr>
          <w:rFonts w:ascii="Arial" w:cs="Arial" w:eastAsia="Arial" w:hAnsi="Arial"/>
          <w:b/>
          <w:bCs/>
          <w:color w:val="0F172A"/>
          <w:sz w:val="26"/>
          <w:szCs w:val="26"/>
        </w:rPr>
        <w:t xml:space="preserve">5.1 Alert Lifecycle</w:t>
      </w:r>
    </w:p>
    <w:p>
      <w:pPr>
        <w:spacing w:after="80" w:before="80"/>
        <w:jc w:val="left"/>
      </w:pPr>
      <w:r>
        <w:rPr>
          <w:rFonts w:ascii="Arial" w:cs="Arial" w:eastAsia="Arial" w:hAnsi="Arial"/>
          <w:b w:val="false"/>
          <w:bCs w:val="false"/>
          <w:i w:val="false"/>
          <w:iCs w:val="false"/>
          <w:color w:val="0F172A"/>
          <w:sz w:val="22"/>
          <w:szCs w:val="22"/>
        </w:rPr>
        <w:t xml:space="preserve">Every alert goes through the following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w:t>
            </w:r>
          </w:p>
        </w:tc>
        <w:tc>
          <w:tcPr>
            <w:tcW w:type="dxa" w:w="25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acts</w:t>
            </w:r>
          </w:p>
        </w:tc>
        <w:tc>
          <w:tcPr>
            <w:tcW w:type="dxa" w:w="45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to do</w:t>
            </w:r>
          </w:p>
        </w:tc>
      </w:tr>
      <w:tr>
        <w:tc>
          <w:tcPr>
            <w:tcW w:type="dxa" w:w="20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New</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Any analyst</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Read the alert, click Acknowledge to confirm you have seen it</w:t>
            </w:r>
          </w:p>
        </w:tc>
      </w:tr>
      <w:tr>
        <w:tc>
          <w:tcPr>
            <w:tcW w:type="dxa" w:w="2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Acknowledged</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Assigned analyst</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Click Investigate to start analysis</w:t>
            </w:r>
          </w:p>
        </w:tc>
      </w:tr>
      <w:tr>
        <w:tc>
          <w:tcPr>
            <w:tcW w:type="dxa" w:w="2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Investigating</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Assigned analyst</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Analyse the threat, contain it if real, click Contain</w:t>
            </w:r>
          </w:p>
        </w:tc>
      </w:tr>
      <w:tr>
        <w:tc>
          <w:tcPr>
            <w:tcW w:type="dxa" w:w="2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Contained</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Assigned analyst</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Write resolution notes and click Resolve</w:t>
            </w:r>
          </w:p>
        </w:tc>
      </w:tr>
      <w:tr>
        <w:tc>
          <w:tcPr>
            <w:tcW w:type="dxa" w:w="2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Resolved</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N/A</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Alert is closed. Well done!</w:t>
            </w:r>
          </w:p>
        </w:tc>
      </w:tr>
    </w:tbl>
    <w:p>
      <w:pPr>
        <w:pStyle w:val="Heading2"/>
        <w:spacing w:after="100" w:before="240"/>
      </w:pPr>
      <w:r>
        <w:rPr>
          <w:rFonts w:ascii="Arial" w:cs="Arial" w:eastAsia="Arial" w:hAnsi="Arial"/>
          <w:b/>
          <w:bCs/>
          <w:color w:val="0F172A"/>
          <w:sz w:val="26"/>
          <w:szCs w:val="26"/>
        </w:rPr>
        <w:t xml:space="preserve">5.2 SLA Deadlines</w:t>
      </w:r>
    </w:p>
    <w:p>
      <w:pPr>
        <w:spacing w:after="80" w:before="80"/>
        <w:jc w:val="left"/>
      </w:pPr>
      <w:r>
        <w:rPr>
          <w:rFonts w:ascii="Arial" w:cs="Arial" w:eastAsia="Arial" w:hAnsi="Arial"/>
          <w:b w:val="false"/>
          <w:bCs w:val="false"/>
          <w:i w:val="false"/>
          <w:iCs w:val="false"/>
          <w:color w:val="0F172A"/>
          <w:sz w:val="22"/>
          <w:szCs w:val="22"/>
        </w:rPr>
        <w:t xml:space="preserve">Each alert has a deadline for resolution based on its severity. If the deadline is missed, the alert will be highlighted in red and escalation notifications will be sent automatically.</w:t>
      </w:r>
    </w:p>
    <w:p>
      <w:pPr>
        <w:pStyle w:val="ListParagraph"/>
        <w:numPr>
          <w:ilvl w:val="0"/>
          <w:numId w:val="2"/>
        </w:numPr>
        <w:spacing w:after="60" w:before="60"/>
      </w:pPr>
      <w:r>
        <w:rPr>
          <w:rFonts w:ascii="Arial" w:cs="Arial" w:eastAsia="Arial" w:hAnsi="Arial"/>
          <w:color w:val="0F172A"/>
          <w:sz w:val="22"/>
          <w:szCs w:val="22"/>
        </w:rPr>
        <w:t xml:space="preserve">Critical: 1 hour</w:t>
      </w:r>
    </w:p>
    <w:p>
      <w:pPr>
        <w:pStyle w:val="ListParagraph"/>
        <w:numPr>
          <w:ilvl w:val="0"/>
          <w:numId w:val="2"/>
        </w:numPr>
        <w:spacing w:after="60" w:before="60"/>
      </w:pPr>
      <w:r>
        <w:rPr>
          <w:rFonts w:ascii="Arial" w:cs="Arial" w:eastAsia="Arial" w:hAnsi="Arial"/>
          <w:color w:val="0F172A"/>
          <w:sz w:val="22"/>
          <w:szCs w:val="22"/>
        </w:rPr>
        <w:t xml:space="preserve">High: 4 hours</w:t>
      </w:r>
    </w:p>
    <w:p>
      <w:pPr>
        <w:pStyle w:val="ListParagraph"/>
        <w:numPr>
          <w:ilvl w:val="0"/>
          <w:numId w:val="2"/>
        </w:numPr>
        <w:spacing w:after="60" w:before="60"/>
      </w:pPr>
      <w:r>
        <w:rPr>
          <w:rFonts w:ascii="Arial" w:cs="Arial" w:eastAsia="Arial" w:hAnsi="Arial"/>
          <w:color w:val="0F172A"/>
          <w:sz w:val="22"/>
          <w:szCs w:val="22"/>
        </w:rPr>
        <w:t xml:space="preserve">Medium: 24 hours</w:t>
      </w:r>
    </w:p>
    <w:p>
      <w:pPr>
        <w:pStyle w:val="ListParagraph"/>
        <w:numPr>
          <w:ilvl w:val="0"/>
          <w:numId w:val="2"/>
        </w:numPr>
        <w:spacing w:after="60" w:before="60"/>
      </w:pPr>
      <w:r>
        <w:rPr>
          <w:rFonts w:ascii="Arial" w:cs="Arial" w:eastAsia="Arial" w:hAnsi="Arial"/>
          <w:color w:val="0F172A"/>
          <w:sz w:val="22"/>
          <w:szCs w:val="22"/>
        </w:rPr>
        <w:t xml:space="preserve">Low: 72 hours</w:t>
      </w:r>
    </w:p>
    <w:p>
      <w:pPr>
        <w:spacing w:after="60" w:before="60"/>
      </w:pPr>
      <w:r>
        <w:t xml:space="preserve"/>
      </w:r>
    </w:p>
    <w:p>
      <w:pPr>
        <w:pStyle w:val="Heading1"/>
        <w:spacing w:after="120" w:before="300"/>
      </w:pPr>
      <w:r>
        <w:rPr>
          <w:rFonts w:ascii="Arial" w:cs="Arial" w:eastAsia="Arial" w:hAnsi="Arial"/>
          <w:b/>
          <w:bCs/>
          <w:color w:val="4F46E5"/>
          <w:sz w:val="32"/>
          <w:szCs w:val="32"/>
        </w:rPr>
        <w:t xml:space="preserve">6. Notification Center</w:t>
      </w:r>
    </w:p>
    <w:p>
      <w:pPr>
        <w:pStyle w:val="Heading2"/>
        <w:spacing w:after="100" w:before="240"/>
      </w:pPr>
      <w:r>
        <w:rPr>
          <w:rFonts w:ascii="Arial" w:cs="Arial" w:eastAsia="Arial" w:hAnsi="Arial"/>
          <w:b/>
          <w:bCs/>
          <w:color w:val="0F172A"/>
          <w:sz w:val="26"/>
          <w:szCs w:val="26"/>
        </w:rPr>
        <w:t xml:space="preserve">6.1 Notification History</w:t>
      </w:r>
    </w:p>
    <w:p>
      <w:pPr>
        <w:spacing w:after="80" w:before="80"/>
        <w:jc w:val="left"/>
      </w:pPr>
      <w:r>
        <w:rPr>
          <w:rFonts w:ascii="Arial" w:cs="Arial" w:eastAsia="Arial" w:hAnsi="Arial"/>
          <w:b w:val="false"/>
          <w:bCs w:val="false"/>
          <w:i w:val="false"/>
          <w:iCs w:val="false"/>
          <w:color w:val="0F172A"/>
          <w:sz w:val="22"/>
          <w:szCs w:val="22"/>
        </w:rPr>
        <w:t xml:space="preserve">Every notification sent by CyberShield (internal, email, or webhook) is recorded here with its delivery status. If a notification failed, you can retry it using the Retry button.</w:t>
      </w:r>
    </w:p>
    <w:p>
      <w:pPr>
        <w:pStyle w:val="Heading2"/>
        <w:spacing w:after="100" w:before="240"/>
      </w:pPr>
      <w:r>
        <w:rPr>
          <w:rFonts w:ascii="Arial" w:cs="Arial" w:eastAsia="Arial" w:hAnsi="Arial"/>
          <w:b/>
          <w:bCs/>
          <w:color w:val="0F172A"/>
          <w:sz w:val="26"/>
          <w:szCs w:val="26"/>
        </w:rPr>
        <w:t xml:space="preserve">6.2 Understanding Notification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7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2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Sent ✅</w:t>
            </w:r>
          </w:p>
        </w:tc>
        <w:tc>
          <w:tcPr>
            <w:tcW w:type="dxa" w:w="7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Notification was delivered successfully to the channel</w:t>
            </w:r>
          </w:p>
        </w:tc>
      </w:tr>
      <w:tr>
        <w:tc>
          <w:tcPr>
            <w:tcW w:type="dxa" w:w="20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Failed ❌</w:t>
            </w:r>
          </w:p>
        </w:tc>
        <w:tc>
          <w:tcPr>
            <w:tcW w:type="dxa" w:w="7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Delivery failed. Check the error message and use the Retry button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color w:val="64748B"/>
                <w:sz w:val="20"/>
                <w:szCs w:val="20"/>
              </w:rPr>
              <w:t xml:space="preserve">Skipped</w:t>
            </w:r>
          </w:p>
        </w:tc>
        <w:tc>
          <w:tcPr>
            <w:tcW w:type="dxa" w:w="7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Notification was skipped (e.g. no recipients configured)</w:t>
            </w:r>
          </w:p>
        </w:tc>
      </w:tr>
      <w:tr>
        <w:tc>
          <w:tcPr>
            <w:tcW w:type="dxa" w:w="20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Pending</w:t>
            </w:r>
          </w:p>
        </w:tc>
        <w:tc>
          <w:tcPr>
            <w:tcW w:type="dxa" w:w="7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Notification is queued for sending</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4" w:space="1"/>
      </w:pBdr>
      <w:tabs>
        <w:tab w:val="center" w:pos="4500"/>
        <w:tab w:val="right" w:pos="9026"/>
      </w:tabs>
    </w:pPr>
    <w:r>
      <w:rPr>
        <w:rFonts w:ascii="Arial" w:cs="Arial" w:eastAsia="Arial" w:hAnsi="Arial"/>
        <w:color w:val="64748B"/>
        <w:sz w:val="16"/>
        <w:szCs w:val="16"/>
      </w:rPr>
      <w:t xml:space="preserve">Copyright © 2025 Francisco José Jiménez Pozo — Confidential</w:t>
    </w:r>
    <w:r>
      <w:rPr>
        <w:rFonts w:ascii="Arial" w:cs="Arial" w:eastAsia="Arial" w:hAnsi="Arial"/>
      </w:rPr>
      <w:t xml:space="preserve">	</w:t>
    </w:r>
    <w:r>
      <w:rPr>
        <w:rFonts w:ascii="Arial" w:cs="Arial" w:eastAsia="Arial" w:hAnsi="Arial"/>
        <w:color w:val="64748B"/>
        <w:sz w:val="16"/>
        <w:szCs w:val="16"/>
      </w:rPr>
      <w:t xml:space="preserve">28/5/2026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1"/>
      </w:pBdr>
      <w:tabs>
        <w:tab w:val="right" w:pos="9026"/>
      </w:tabs>
    </w:pPr>
    <w:r>
      <w:rPr>
        <w:rFonts w:ascii="Arial" w:cs="Arial" w:eastAsia="Arial" w:hAnsi="Arial"/>
        <w:color w:val="64748B"/>
        <w:sz w:val="18"/>
        <w:szCs w:val="18"/>
      </w:rPr>
      <w:t xml:space="preserve">CyberShield — </w:t>
    </w:r>
    <w:r>
      <w:rPr>
        <w:rFonts w:ascii="Arial" w:cs="Arial" w:eastAsia="Arial" w:hAnsi="Arial"/>
        <w:b/>
        <w:bCs/>
        <w:color w:val="4F46E5"/>
        <w:sz w:val="18"/>
        <w:szCs w:val="18"/>
      </w:rPr>
      <w:t xml:space="preserve">User Manual</w:t>
    </w:r>
    <w:r>
      <w:rPr>
        <w:rFonts w:ascii="Arial" w:cs="Arial" w:eastAsia="Arial" w:hAnsi="Arial"/>
      </w:rPr>
      <w:t xml:space="preserve">	</w:t>
    </w:r>
    <w:r>
      <w:rPr>
        <w:rFonts w:ascii="Arial" w:cs="Arial" w:eastAsia="Arial" w:hAnsi="Arial"/>
        <w:color w:val="64748B"/>
        <w:sz w:val="16"/>
        <w:szCs w:val="16"/>
      </w:rPr>
      <w:t xml:space="preserve">CS-USR-003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4" w:space="1"/>
      </w:pBdr>
      <w:spacing w:after="120" w:before="300"/>
      <w:outlineLvl w:val="0"/>
    </w:pPr>
    <w:rPr>
      <w:rFonts w:ascii="Arial" w:cs="Arial" w:eastAsia="Arial" w:hAnsi="Arial"/>
      <w:b/>
      <w:bCs/>
      <w:color w:val="4F46E5"/>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F172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2026-05-28T22:43:06.623Z</dcterms:created>
  <dcterms:modified xsi:type="dcterms:W3CDTF">2026-05-28T22:43:06.623Z</dcterms:modified>
</cp:coreProperties>
</file>

<file path=docProps/custom.xml><?xml version="1.0" encoding="utf-8"?>
<Properties xmlns="http://schemas.openxmlformats.org/officeDocument/2006/custom-properties" xmlns:vt="http://schemas.openxmlformats.org/officeDocument/2006/docPropsVTypes"/>
</file>