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0B2E"/>
          <w:sz w:val="48"/>
        </w:rPr>
        <w:t>LOGISKIP ENTERPRISE DOCUMENTATION BUNDLE</w:t>
      </w:r>
    </w:p>
    <w:p>
      <w:pPr>
        <w:spacing w:after="360"/>
      </w:pPr>
      <w:r>
        <w:rPr>
          <w:rFonts w:ascii="Calibri" w:hAnsi="Calibri"/>
          <w:color w:val="666666"/>
          <w:sz w:val="26"/>
        </w:rPr>
        <w:t>PRD, TRD, Portal System Design, and Implementation Guide</w:t>
      </w:r>
    </w:p>
    <w:tbl>
      <w:tblPr>
        <w:tblW w:type="auto" w:w="0"/>
        <w:jc w:val="center"/>
        <w:tblLook w:firstColumn="1" w:firstRow="1" w:lastColumn="0" w:lastRow="0" w:noHBand="0" w:noVBand="1" w:val="04A0"/>
      </w:tblPr>
      <w:tblGrid>
        <w:gridCol w:w="9936"/>
      </w:tblGrid>
      <w:tr>
        <w:tc>
          <w:tcPr>
            <w:tcW w:type="dxa" w:w="9936"/>
            <w:shd w:fill="F4F1F8"/>
            <w:tcBorders>
              <w:top w:val="none"/>
              <w:left w:val="single" w:sz="24" w:space="0" w:color="1A0B2E"/>
              <w:bottom w:val="none"/>
              <w:right w:val="none"/>
            </w:tcBorders>
            <w:tcMar>
              <w:top w:w="140" w:type="dxa"/>
              <w:bottom w:w="140" w:type="dxa"/>
              <w:left w:w="200" w:type="dxa"/>
              <w:right w:w="200" w:type="dxa"/>
            </w:tcMar>
          </w:tcPr>
          <w:p>
            <w:pPr>
              <w:spacing w:after="80"/>
            </w:pPr>
            <w:r>
              <w:rPr>
                <w:b/>
                <w:color w:val="1A0B2E"/>
                <w:sz w:val="22"/>
              </w:rPr>
              <w:t>📦 System Scope</w:t>
              <w:br/>
            </w:r>
            <w:r>
              <w:rPr>
                <w:sz w:val="20"/>
              </w:rPr>
              <w:t>This document provides the complete enterprise specification for Logiskip. It covers the core ML risk prediction engine, Prophet time-series demand forecasting, linear programming What-If optimization, LLM procurement reports, public landing page, and self-service customer/supplier portal.</w:t>
            </w:r>
          </w:p>
        </w:tc>
      </w:tr>
    </w:tbl>
    <w:p>
      <w:pPr>
        <w:spacing w:after="120"/>
      </w:pPr>
    </w:p>
    <w:p>
      <w:pPr>
        <w:keepNext/>
        <w:spacing w:before="400" w:after="160"/>
        <w:pBdr>
          <w:bottom w:val="single" w:sz="12" w:space="4" w:color="1A0B2E"/>
        </w:pBdr>
      </w:pPr>
      <w:r>
        <w:rPr>
          <w:rFonts w:ascii="Calibri" w:hAnsi="Calibri"/>
          <w:b/>
          <w:color w:val="1A0B2E"/>
          <w:sz w:val="36"/>
        </w:rPr>
        <w:t>PART I: Product Requirement Document (PRD)</w:t>
      </w:r>
    </w:p>
    <w:p>
      <w:pPr>
        <w:keepNext/>
        <w:spacing w:before="280" w:after="120"/>
      </w:pPr>
      <w:r>
        <w:rPr>
          <w:rFonts w:ascii="Calibri" w:hAnsi="Calibri"/>
          <w:b/>
          <w:color w:val="1A0B2E"/>
          <w:sz w:val="28"/>
        </w:rPr>
        <w:t>1. Problem Statement &amp; Market Opportunity</w:t>
      </w:r>
    </w:p>
    <w:p>
      <w:pPr>
        <w:spacing w:after="120" w:line="276" w:lineRule="auto"/>
      </w:pPr>
      <w:r>
        <w:t>Global enterprises depend on complex, multi-tiered supply chains comprising hundreds or thousands of external vendors. Unannounced delivery delays, quality defect surges, raw material price jumps, and capacity constraints frequently halt production lines. Logiskip transforms supply chain operations from reactive firefighting into predictive strategy by forecasting vendor bottlenecks 30–90 days before impact.</w:t>
      </w:r>
    </w:p>
    <w:p>
      <w:pPr>
        <w:keepNext/>
        <w:spacing w:before="280" w:after="120"/>
      </w:pPr>
      <w:r>
        <w:rPr>
          <w:rFonts w:ascii="Calibri" w:hAnsi="Calibri"/>
          <w:b/>
          <w:color w:val="1A0B2E"/>
          <w:sz w:val="28"/>
        </w:rPr>
        <w:t>2. Product Objectives &amp; Target Metrics</w:t>
      </w:r>
    </w:p>
    <w:tbl>
      <w:tblPr>
        <w:tblW w:type="auto" w:w="0"/>
        <w:jc w:val="center"/>
        <w:tblLook w:firstColumn="1" w:firstRow="1" w:lastColumn="0" w:lastRow="0" w:noHBand="0" w:noVBand="1" w:val="04A0"/>
      </w:tblPr>
      <w:tblGrid>
        <w:gridCol w:w="3312"/>
        <w:gridCol w:w="3312"/>
        <w:gridCol w:w="3312"/>
      </w:tblGrid>
      <w:tr>
        <w:tc>
          <w:tcPr>
            <w:tcW w:type="dxa" w:w="3312"/>
            <w:shd w:fill="1A0B2E"/>
          </w:tcPr>
          <w:p>
            <w:r>
              <w:rPr>
                <w:b/>
                <w:color w:val="FFFFFF"/>
              </w:rPr>
              <w:t>Key Performance Indicator</w:t>
            </w:r>
          </w:p>
        </w:tc>
        <w:tc>
          <w:tcPr>
            <w:tcW w:type="dxa" w:w="3312"/>
            <w:shd w:fill="1A0B2E"/>
          </w:tcPr>
          <w:p>
            <w:r>
              <w:rPr>
                <w:b/>
                <w:color w:val="FFFFFF"/>
              </w:rPr>
              <w:t>Industry Baseline</w:t>
            </w:r>
          </w:p>
        </w:tc>
        <w:tc>
          <w:tcPr>
            <w:tcW w:type="dxa" w:w="3312"/>
            <w:shd w:fill="1A0B2E"/>
          </w:tcPr>
          <w:p>
            <w:r>
              <w:rPr>
                <w:b/>
                <w:color w:val="FFFFFF"/>
              </w:rPr>
              <w:t>Logiskip Target</w:t>
            </w:r>
          </w:p>
        </w:tc>
      </w:tr>
      <w:tr>
        <w:tc>
          <w:tcPr>
            <w:tcW w:type="dxa" w:w="3312"/>
          </w:tcPr>
          <w:p>
            <w:r>
              <w:t>Risk Prediction Horizon</w:t>
            </w:r>
          </w:p>
        </w:tc>
        <w:tc>
          <w:tcPr>
            <w:tcW w:type="dxa" w:w="3312"/>
          </w:tcPr>
          <w:p>
            <w:r>
              <w:t>Post-Incident Reaction</w:t>
            </w:r>
          </w:p>
        </w:tc>
        <w:tc>
          <w:tcPr>
            <w:tcW w:type="dxa" w:w="3312"/>
          </w:tcPr>
          <w:p>
            <w:r>
              <w:t>30–90 Days Advanced Warning</w:t>
            </w:r>
          </w:p>
        </w:tc>
      </w:tr>
      <w:tr>
        <w:tc>
          <w:tcPr>
            <w:tcW w:type="dxa" w:w="3312"/>
            <w:shd w:fill="F4F1F8"/>
          </w:tcPr>
          <w:p>
            <w:r>
              <w:t>Supplier Risk Scoring Precision</w:t>
            </w:r>
          </w:p>
        </w:tc>
        <w:tc>
          <w:tcPr>
            <w:tcW w:type="dxa" w:w="3312"/>
            <w:shd w:fill="F4F1F8"/>
          </w:tcPr>
          <w:p>
            <w:r>
              <w:t>Annual Manual Audits</w:t>
            </w:r>
          </w:p>
        </w:tc>
        <w:tc>
          <w:tcPr>
            <w:tcW w:type="dxa" w:w="3312"/>
            <w:shd w:fill="F4F1F8"/>
          </w:tcPr>
          <w:p>
            <w:r>
              <w:t>Continuous Dynamic Score (0-100)</w:t>
            </w:r>
          </w:p>
        </w:tc>
      </w:tr>
      <w:tr>
        <w:tc>
          <w:tcPr>
            <w:tcW w:type="dxa" w:w="3312"/>
          </w:tcPr>
          <w:p>
            <w:r>
              <w:t>Demand Forecast Error (MAPE)</w:t>
            </w:r>
          </w:p>
        </w:tc>
        <w:tc>
          <w:tcPr>
            <w:tcW w:type="dxa" w:w="3312"/>
          </w:tcPr>
          <w:p>
            <w:r>
              <w:t>18% - 25%</w:t>
            </w:r>
          </w:p>
        </w:tc>
        <w:tc>
          <w:tcPr>
            <w:tcW w:type="dxa" w:w="3312"/>
          </w:tcPr>
          <w:p>
            <w:r>
              <w:t>&lt; 8% MAPE</w:t>
            </w:r>
          </w:p>
        </w:tc>
      </w:tr>
      <w:tr>
        <w:tc>
          <w:tcPr>
            <w:tcW w:type="dxa" w:w="3312"/>
            <w:shd w:fill="F4F1F8"/>
          </w:tcPr>
          <w:p>
            <w:r>
              <w:t>Procurement Report Drafting</w:t>
            </w:r>
          </w:p>
        </w:tc>
        <w:tc>
          <w:tcPr>
            <w:tcW w:type="dxa" w:w="3312"/>
            <w:shd w:fill="F4F1F8"/>
          </w:tcPr>
          <w:p>
            <w:r>
              <w:t>4 - 8 Hours Manual Effort</w:t>
            </w:r>
          </w:p>
        </w:tc>
        <w:tc>
          <w:tcPr>
            <w:tcW w:type="dxa" w:w="3312"/>
            <w:shd w:fill="F4F1F8"/>
          </w:tcPr>
          <w:p>
            <w:r>
              <w:t>&lt; 15 Seconds (LLM-Generated)</w:t>
            </w:r>
          </w:p>
        </w:tc>
      </w:tr>
    </w:tbl>
    <w:p>
      <w:pPr>
        <w:spacing w:after="120"/>
      </w:pPr>
    </w:p>
    <w:p>
      <w:pPr>
        <w:keepNext/>
        <w:spacing w:before="280" w:after="120"/>
      </w:pPr>
      <w:r>
        <w:rPr>
          <w:rFonts w:ascii="Calibri" w:hAnsi="Calibri"/>
          <w:b/>
          <w:color w:val="1A0B2E"/>
          <w:sz w:val="28"/>
        </w:rPr>
        <w:t>3. Key Functional Modules</w:t>
      </w:r>
    </w:p>
    <w:p>
      <w:pPr>
        <w:spacing w:after="120" w:line="276" w:lineRule="auto"/>
      </w:pPr>
      <w:r>
        <w:rPr>
          <w:b/>
          <w:color w:val="1A0B2E"/>
        </w:rPr>
        <w:t xml:space="preserve">• Public Marketing Landing Page: </w:t>
      </w:r>
      <w:r>
        <w:t>Public website showcasing product capabilities, interactive ROI risk calculator, self-serve trial signups, and enterprise tier options.</w:t>
      </w:r>
    </w:p>
    <w:p>
      <w:pPr>
        <w:spacing w:after="120" w:line="276" w:lineRule="auto"/>
      </w:pPr>
      <w:r>
        <w:rPr>
          <w:b/>
          <w:color w:val="1A0B2E"/>
        </w:rPr>
        <w:t xml:space="preserve">• Customer / Supplier Portal: </w:t>
      </w:r>
      <w:r>
        <w:t>External portal enabling suppliers to acknowledge POs, submit capacity disclosures, upload compliance docs, and monitor performance grades.</w:t>
      </w:r>
    </w:p>
    <w:p>
      <w:pPr>
        <w:spacing w:after="120" w:line="276" w:lineRule="auto"/>
      </w:pPr>
      <w:r>
        <w:rPr>
          <w:b/>
          <w:color w:val="1A0B2E"/>
        </w:rPr>
        <w:t xml:space="preserve">• ML Risk Prediction Engine: </w:t>
      </w:r>
      <w:r>
        <w:t>Ingests late delivery rates, defect percentages, order volume, and price volatility to output a live 0-100 risk index.</w:t>
      </w:r>
    </w:p>
    <w:p>
      <w:pPr>
        <w:spacing w:after="120" w:line="276" w:lineRule="auto"/>
      </w:pPr>
      <w:r>
        <w:rPr>
          <w:b/>
          <w:color w:val="1A0B2E"/>
        </w:rPr>
        <w:t xml:space="preserve">• What-If &amp; Optimization Engine: </w:t>
      </w:r>
      <w:r>
        <w:t>SciPy/OR-Tools linear programming solver for simulating supply disruptions and auto-calculating optimal order re-allocation.</w:t>
      </w:r>
    </w:p>
    <w:p>
      <w:pPr>
        <w:spacing w:after="120" w:line="276" w:lineRule="auto"/>
      </w:pPr>
      <w:r>
        <w:rPr>
          <w:b/>
          <w:color w:val="1A0B2E"/>
        </w:rPr>
        <w:t xml:space="preserve">• AI Procurement Reporter: </w:t>
      </w:r>
      <w:r>
        <w:t>Automated LLM synthesis generating executive PDF/Doc procurement mitigation briefs.</w:t>
      </w:r>
    </w:p>
    <w:p>
      <w:pPr>
        <w:keepNext/>
        <w:spacing w:before="400" w:after="160"/>
        <w:pBdr>
          <w:bottom w:val="single" w:sz="12" w:space="4" w:color="1A0B2E"/>
        </w:pBdr>
      </w:pPr>
      <w:r>
        <w:rPr>
          <w:rFonts w:ascii="Calibri" w:hAnsi="Calibri"/>
          <w:b/>
          <w:color w:val="1A0B2E"/>
          <w:sz w:val="36"/>
        </w:rPr>
        <w:t>PART II: Technical Requirement Document (TRD)</w:t>
      </w:r>
    </w:p>
    <w:p>
      <w:pPr>
        <w:keepNext/>
        <w:spacing w:before="280" w:after="120"/>
      </w:pPr>
      <w:r>
        <w:rPr>
          <w:rFonts w:ascii="Calibri" w:hAnsi="Calibri"/>
          <w:b/>
          <w:color w:val="1A0B2E"/>
          <w:sz w:val="28"/>
        </w:rPr>
        <w:t>1. System Architecture &amp; Topology</w:t>
      </w:r>
    </w:p>
    <w:p>
      <w:pPr>
        <w:spacing w:after="120" w:line="276" w:lineRule="auto"/>
      </w:pPr>
      <w:r>
        <w:t>A multi-app frontend structure built with Next.js 14 (Landing Page, Customer Portal, Operations Dashboard) paired with React Native / Expo for mobile push alerts.</w:t>
      </w:r>
    </w:p>
    <w:p>
      <w:pPr>
        <w:spacing w:after="120" w:line="276" w:lineRule="auto"/>
      </w:pPr>
      <w:r>
        <w:t>An asynchronous Python FastAPI microservices backend deployed in Docker containers and coordinated via Nginx API Gateway and Keycloak OAuth2/RBAC.</w:t>
      </w:r>
    </w:p>
    <w:p>
      <w:pPr>
        <w:spacing w:after="120" w:line="276" w:lineRule="auto"/>
      </w:pPr>
      <w:r>
        <w:t>Polyglot persistence featuring PostgreSQL (core transactional data), Neo4j (supplier dependency graph), and MongoDB (LLM reports &amp; audit logs).</w:t>
      </w:r>
    </w:p>
    <w:p>
      <w:pPr>
        <w:keepNext/>
        <w:spacing w:before="280" w:after="120"/>
      </w:pPr>
      <w:r>
        <w:rPr>
          <w:rFonts w:ascii="Calibri" w:hAnsi="Calibri"/>
          <w:b/>
          <w:color w:val="1A0B2E"/>
          <w:sz w:val="28"/>
        </w:rPr>
        <w:t>2. Database Schemas</w:t>
      </w:r>
    </w:p>
    <w:p>
      <w:pPr>
        <w:keepNext/>
        <w:spacing w:before="200" w:after="80"/>
      </w:pPr>
      <w:r>
        <w:rPr>
          <w:rFonts w:ascii="Calibri" w:hAnsi="Calibri"/>
          <w:b/>
          <w:color w:val="222222"/>
          <w:sz w:val="24"/>
        </w:rPr>
        <w:t>PostgreSQL (Suppliers, Purchase Orders, Metrics)</w:t>
      </w:r>
    </w:p>
    <w:p>
      <w:pPr>
        <w:spacing w:after="120" w:line="276" w:lineRule="auto"/>
      </w:pPr>
      <w:r>
        <w:t>Tables: suppliers (supplier_id, name, tier, country, risk_score), purchase_orders (po_id, supplier_id, order_date, expected_delivery, status), performance_logs (log_id, supplier_id, defect_rate, late_days, price_change_pct).</w:t>
      </w:r>
    </w:p>
    <w:p>
      <w:pPr>
        <w:keepNext/>
        <w:spacing w:before="200" w:after="80"/>
      </w:pPr>
      <w:r>
        <w:rPr>
          <w:rFonts w:ascii="Calibri" w:hAnsi="Calibri"/>
          <w:b/>
          <w:color w:val="222222"/>
          <w:sz w:val="24"/>
        </w:rPr>
        <w:t>MongoDB (Procurement Reports &amp; Audit Trails)</w:t>
      </w:r>
    </w:p>
    <w:p>
      <w:pPr>
        <w:spacing w:after="120" w:line="276" w:lineRule="auto"/>
      </w:pPr>
      <w:r>
        <w:t>Collections: procurement_reports (report_id, supplier_id, risk_score, shap_factors, llm_summary, created_at), portal_audit_logs (log_id, user_id, action, timestamp).</w:t>
      </w:r>
    </w:p>
    <w:p>
      <w:pPr>
        <w:keepNext/>
        <w:spacing w:before="400" w:after="160"/>
        <w:pBdr>
          <w:bottom w:val="single" w:sz="12" w:space="4" w:color="1A0B2E"/>
        </w:pBdr>
      </w:pPr>
      <w:r>
        <w:rPr>
          <w:rFonts w:ascii="Calibri" w:hAnsi="Calibri"/>
          <w:b/>
          <w:color w:val="1A0B2E"/>
          <w:sz w:val="36"/>
        </w:rPr>
        <w:t>PART III: Implementation Guide</w:t>
      </w:r>
    </w:p>
    <w:p>
      <w:pPr>
        <w:keepNext/>
        <w:spacing w:before="280" w:after="120"/>
      </w:pPr>
      <w:r>
        <w:rPr>
          <w:rFonts w:ascii="Calibri" w:hAnsi="Calibri"/>
          <w:b/>
          <w:color w:val="1A0B2E"/>
          <w:sz w:val="28"/>
        </w:rPr>
        <w:t>1. Environment &amp; Container Setup</w:t>
      </w:r>
    </w:p>
    <w:p>
      <w:pPr>
        <w:spacing w:after="120" w:line="276" w:lineRule="auto"/>
      </w:pPr>
      <w:r>
        <w:t>Run the full container stack via docker-compose up -d --build to launch Nginx Gateway, Keycloak, PostgreSQL, MongoDB, Neo4j, ZooKeeper, Kafka, and FastAPI services.</w:t>
      </w:r>
    </w:p>
    <w:p>
      <w:pPr>
        <w:keepNext/>
        <w:spacing w:before="280" w:after="120"/>
      </w:pPr>
      <w:r>
        <w:rPr>
          <w:rFonts w:ascii="Calibri" w:hAnsi="Calibri"/>
          <w:b/>
          <w:color w:val="1A0B2E"/>
          <w:sz w:val="28"/>
        </w:rPr>
        <w:t>2. Microservice Deployment Checklists</w:t>
      </w:r>
    </w:p>
    <w:p>
      <w:pPr>
        <w:spacing w:after="120" w:line="276" w:lineRule="auto"/>
      </w:pPr>
      <w:r>
        <w:rPr>
          <w:b/>
          <w:color w:val="1A0B2E"/>
        </w:rPr>
        <w:t xml:space="preserve">• Risk Scoring Service: </w:t>
      </w:r>
      <w:r>
        <w:t>Trains XGBoost classifier on historical performance metrics. Exposes POST /v1/score endpoint returning risk scores and feature importances.</w:t>
      </w:r>
    </w:p>
    <w:p>
      <w:pPr>
        <w:spacing w:after="120" w:line="276" w:lineRule="auto"/>
      </w:pPr>
      <w:r>
        <w:rPr>
          <w:b/>
          <w:color w:val="1A0B2E"/>
        </w:rPr>
        <w:t xml:space="preserve">• What-If Optimization Engine: </w:t>
      </w:r>
      <w:r>
        <w:t>SciPy Optimize script executing linear constraints on cost, capacity, and lead-time to balance order allocations.</w:t>
      </w:r>
    </w:p>
    <w:p>
      <w:pPr>
        <w:spacing w:after="120" w:line="276" w:lineRule="auto"/>
      </w:pPr>
      <w:r>
        <w:rPr>
          <w:b/>
          <w:color w:val="1A0B2E"/>
        </w:rPr>
        <w:t xml:space="preserve">• LLM Procurement Reporter: </w:t>
      </w:r>
      <w:r>
        <w:t>FastAPI service orchestrating LangChain prompts over MongoDB audit context for real-time PDF/Doc generation.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