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0B2E"/>
          <w:sz w:val="48"/>
        </w:rPr>
        <w:t>LOGISKIP MASTER SPECIFICATION SUITE</w:t>
      </w:r>
    </w:p>
    <w:p>
      <w:pPr>
        <w:spacing w:after="360"/>
      </w:pPr>
      <w:r>
        <w:rPr>
          <w:rFonts w:ascii="Calibri" w:hAnsi="Calibri"/>
          <w:color w:val="666666"/>
          <w:sz w:val="24"/>
        </w:rPr>
        <w:t>1. PRD | 2. TRD | 3. UI/UX Design | 4. App Flow | 5. Backend Schema | 6. Implementation Plan</w:t>
      </w:r>
    </w:p>
    <w:tbl>
      <w:tblPr>
        <w:tblW w:type="auto" w:w="0"/>
        <w:jc w:val="center"/>
        <w:tblLook w:firstColumn="1" w:firstRow="1" w:lastColumn="0" w:lastRow="0" w:noHBand="0" w:noVBand="1" w:val="04A0"/>
      </w:tblPr>
      <w:tblGrid>
        <w:gridCol w:w="9936"/>
      </w:tblGrid>
      <w:tr>
        <w:tc>
          <w:tcPr>
            <w:tcW w:type="dxa" w:w="9936"/>
            <w:shd w:fill="F4F1F8"/>
            <w:tcBorders>
              <w:top w:val="none"/>
              <w:left w:val="single" w:sz="24" w:space="0" w:color="1A0B2E"/>
              <w:bottom w:val="none"/>
              <w:right w:val="none"/>
            </w:tcBorders>
            <w:tcMar>
              <w:top w:w="140" w:type="dxa"/>
              <w:bottom w:w="140" w:type="dxa"/>
              <w:left w:w="200" w:type="dxa"/>
              <w:right w:w="200" w:type="dxa"/>
            </w:tcMar>
          </w:tcPr>
          <w:p>
            <w:pPr>
              <w:spacing w:after="80"/>
            </w:pPr>
            <w:r>
              <w:rPr>
                <w:b/>
                <w:color w:val="1A0B2E"/>
                <w:sz w:val="22"/>
              </w:rPr>
              <w:t>📦 Master Suite Overview</w:t>
              <w:br/>
            </w:r>
            <w:r>
              <w:rPr>
                <w:sz w:val="20"/>
              </w:rPr>
              <w:t>This master specification document combines all six core project deliverables for Logiskip — AI Supply Chain Risk Prediction &amp; Procurement Optimization Platform. Designed for easy printing or export to PDF.</w:t>
            </w:r>
          </w:p>
        </w:tc>
      </w:tr>
    </w:tbl>
    <w:p>
      <w:pPr>
        <w:spacing w:after="120"/>
      </w:pPr>
    </w:p>
    <w:p>
      <w:pPr>
        <w:keepNext/>
        <w:spacing w:before="440" w:after="160"/>
        <w:pBdr>
          <w:bottom w:val="single" w:sz="12" w:space="4" w:color="1A0B2E"/>
        </w:pBdr>
      </w:pPr>
      <w:r>
        <w:rPr>
          <w:rFonts w:ascii="Calibri" w:hAnsi="Calibri"/>
          <w:b/>
          <w:color w:val="1A0B2E"/>
          <w:sz w:val="36"/>
        </w:rPr>
        <w:t>DOCUMENT 1: Product Requirement Document (PRD)</w:t>
      </w:r>
    </w:p>
    <w:p>
      <w:pPr>
        <w:keepNext/>
        <w:spacing w:before="280" w:after="120"/>
      </w:pPr>
      <w:r>
        <w:rPr>
          <w:rFonts w:ascii="Calibri" w:hAnsi="Calibri"/>
          <w:b/>
          <w:color w:val="1A0B2E"/>
          <w:sz w:val="28"/>
        </w:rPr>
        <w:t>1. Executive Summary &amp; Problem Definition</w:t>
      </w:r>
    </w:p>
    <w:p>
      <w:pPr>
        <w:spacing w:after="120" w:line="276" w:lineRule="auto"/>
      </w:pPr>
      <w:r>
        <w:t>Logiskip is an enterprise AI supply chain risk prediction platform. Global businesses lose millions when suppliers experience unannounced delivery delays, quality defects, price surges, or capacity issues. Logiskip predicts vendor bottlenecks 30–90 days in advance, ranks alternative suppliers, runs what-if simulations, and generates automated AI procurement briefs.</w:t>
      </w:r>
    </w:p>
    <w:p>
      <w:pPr>
        <w:keepNext/>
        <w:spacing w:before="280" w:after="120"/>
      </w:pPr>
      <w:r>
        <w:rPr>
          <w:rFonts w:ascii="Calibri" w:hAnsi="Calibri"/>
          <w:b/>
          <w:color w:val="1A0B2E"/>
          <w:sz w:val="28"/>
        </w:rPr>
        <w:t>2. Target KPIs</w:t>
      </w:r>
    </w:p>
    <w:p>
      <w:pPr>
        <w:spacing w:after="120" w:line="276" w:lineRule="auto"/>
      </w:pPr>
      <w:r>
        <w:rPr>
          <w:b/>
          <w:color w:val="1A0B2E"/>
        </w:rPr>
        <w:t xml:space="preserve">• Risk Scoring Horizon: </w:t>
      </w:r>
      <w:r>
        <w:t>Continuous dynamic score from 0 (Safe) to 100 (Critical Risk).</w:t>
      </w:r>
    </w:p>
    <w:p>
      <w:pPr>
        <w:spacing w:after="120" w:line="276" w:lineRule="auto"/>
      </w:pPr>
      <w:r>
        <w:rPr>
          <w:b/>
          <w:color w:val="1A0B2E"/>
        </w:rPr>
        <w:t xml:space="preserve">• Forecasting Accuracy: </w:t>
      </w:r>
      <w:r>
        <w:t>Time-series demand forecasting accuracy under 8% MAPE.</w:t>
      </w:r>
    </w:p>
    <w:p>
      <w:pPr>
        <w:spacing w:after="120" w:line="276" w:lineRule="auto"/>
      </w:pPr>
      <w:r>
        <w:rPr>
          <w:b/>
          <w:color w:val="1A0B2E"/>
        </w:rPr>
        <w:t xml:space="preserve">• Report Latency: </w:t>
      </w:r>
      <w:r>
        <w:t>Automated LLM report generation in under 15 seconds.</w:t>
      </w:r>
    </w:p>
    <w:p>
      <w:pPr>
        <w:keepNext/>
        <w:spacing w:before="440" w:after="160"/>
        <w:pBdr>
          <w:bottom w:val="single" w:sz="12" w:space="4" w:color="1A0B2E"/>
        </w:pBdr>
      </w:pPr>
      <w:r>
        <w:rPr>
          <w:rFonts w:ascii="Calibri" w:hAnsi="Calibri"/>
          <w:b/>
          <w:color w:val="1A0B2E"/>
          <w:sz w:val="36"/>
        </w:rPr>
        <w:t>DOCUMENT 2: Technical Requirement Document (TRD)</w:t>
      </w:r>
    </w:p>
    <w:p>
      <w:pPr>
        <w:keepNext/>
        <w:spacing w:before="280" w:after="120"/>
      </w:pPr>
      <w:r>
        <w:rPr>
          <w:rFonts w:ascii="Calibri" w:hAnsi="Calibri"/>
          <w:b/>
          <w:color w:val="1A0B2E"/>
          <w:sz w:val="28"/>
        </w:rPr>
        <w:t>1. Microservices Architecture</w:t>
      </w:r>
    </w:p>
    <w:p>
      <w:pPr>
        <w:spacing w:after="120" w:line="276" w:lineRule="auto"/>
      </w:pPr>
      <w:r>
        <w:t>Next.js 14 Web Workspace, Customer Portal, Marketing Landing Page, and React Native / Expo Mobile App.</w:t>
      </w:r>
    </w:p>
    <w:p>
      <w:pPr>
        <w:spacing w:after="120" w:line="276" w:lineRule="auto"/>
      </w:pPr>
      <w:r>
        <w:t>Python FastAPI microservices running XGBoost/LightGBM risk scoring, Prophet forecasting, SciPy linear programming optimization, and LangChain LLM reporting.</w:t>
      </w:r>
    </w:p>
    <w:p>
      <w:pPr>
        <w:spacing w:after="120" w:line="276" w:lineRule="auto"/>
      </w:pPr>
      <w:r>
        <w:t>Polyglot storage utilizing PostgreSQL, Neo4j graph, and MongoDB.</w:t>
      </w:r>
    </w:p>
    <w:p>
      <w:pPr>
        <w:keepNext/>
        <w:spacing w:before="440" w:after="160"/>
        <w:pBdr>
          <w:bottom w:val="single" w:sz="12" w:space="4" w:color="1A0B2E"/>
        </w:pBdr>
      </w:pPr>
      <w:r>
        <w:rPr>
          <w:rFonts w:ascii="Calibri" w:hAnsi="Calibri"/>
          <w:b/>
          <w:color w:val="1A0B2E"/>
          <w:sz w:val="36"/>
        </w:rPr>
        <w:t>DOCUMENT 3: UI/UX Design Specification</w:t>
      </w:r>
    </w:p>
    <w:p>
      <w:pPr>
        <w:keepNext/>
        <w:spacing w:before="280" w:after="120"/>
      </w:pPr>
      <w:r>
        <w:rPr>
          <w:rFonts w:ascii="Calibri" w:hAnsi="Calibri"/>
          <w:b/>
          <w:color w:val="1A0B2E"/>
          <w:sz w:val="28"/>
        </w:rPr>
        <w:t>1. Design System &amp; Brand Palette</w:t>
      </w:r>
    </w:p>
    <w:p>
      <w:pPr>
        <w:spacing w:after="120" w:line="276" w:lineRule="auto"/>
      </w:pPr>
      <w:r>
        <w:rPr>
          <w:b/>
          <w:color w:val="1A0B2E"/>
        </w:rPr>
        <w:t xml:space="preserve">• Primary Brand Color: </w:t>
      </w:r>
      <w:r>
        <w:t>Linkerry (#1A0B2E) - Used for structural navigation, primary headers, and high-emphasis cards.</w:t>
      </w:r>
    </w:p>
    <w:p>
      <w:pPr>
        <w:spacing w:after="120" w:line="276" w:lineRule="auto"/>
      </w:pPr>
      <w:r>
        <w:rPr>
          <w:b/>
          <w:color w:val="1A0B2E"/>
        </w:rPr>
        <w:t xml:space="preserve">• Accent Color: </w:t>
      </w:r>
      <w:r>
        <w:t>Peach (#FFB7A5) - Accent color for call-to-action buttons, high-risk badges, and metric highlights.</w:t>
      </w:r>
    </w:p>
    <w:p>
      <w:pPr>
        <w:spacing w:after="120" w:line="276" w:lineRule="auto"/>
      </w:pPr>
      <w:r>
        <w:rPr>
          <w:b/>
          <w:color w:val="1A0B2E"/>
        </w:rPr>
        <w:t xml:space="preserve">• Background Surface: </w:t>
      </w:r>
      <w:r>
        <w:t>Light Lavender (#F4F1F8) - Subtle card backgrounds and callout shading.</w:t>
      </w:r>
    </w:p>
    <w:p>
      <w:pPr>
        <w:keepNext/>
        <w:spacing w:before="280" w:after="120"/>
      </w:pPr>
      <w:r>
        <w:rPr>
          <w:rFonts w:ascii="Calibri" w:hAnsi="Calibri"/>
          <w:b/>
          <w:color w:val="1A0B2E"/>
          <w:sz w:val="28"/>
        </w:rPr>
        <w:t>2. Screen Layout Breakdown</w:t>
      </w:r>
    </w:p>
    <w:p>
      <w:pPr>
        <w:spacing w:after="120" w:line="276" w:lineRule="auto"/>
      </w:pPr>
      <w:r>
        <w:rPr>
          <w:b/>
          <w:color w:val="1A0B2E"/>
        </w:rPr>
        <w:t xml:space="preserve">• Operational Workspace Dashboard: </w:t>
      </w:r>
      <w:r>
        <w:t>Live 0-100 gauge charts, risk trendlines, and high-priority vendor alert tables.</w:t>
      </w:r>
    </w:p>
    <w:p>
      <w:pPr>
        <w:spacing w:after="120" w:line="276" w:lineRule="auto"/>
      </w:pPr>
      <w:r>
        <w:rPr>
          <w:b/>
          <w:color w:val="1A0B2E"/>
        </w:rPr>
        <w:t xml:space="preserve">• What-If Scenario Simulator: </w:t>
      </w:r>
      <w:r>
        <w:t>Interactive sliders to adjust price increases, trade route blockages, or vendor failure rates with live re-allocation graphs.</w:t>
      </w:r>
    </w:p>
    <w:p>
      <w:pPr>
        <w:spacing w:after="120" w:line="276" w:lineRule="auto"/>
      </w:pPr>
      <w:r>
        <w:rPr>
          <w:b/>
          <w:color w:val="1A0B2E"/>
        </w:rPr>
        <w:t xml:space="preserve">• Customer / Supplier Portal: </w:t>
      </w:r>
      <w:r>
        <w:t>Clean supplier interface for PO confirmation, capacity updates, and document uploads.</w:t>
      </w:r>
    </w:p>
    <w:p>
      <w:pPr>
        <w:keepNext/>
        <w:spacing w:before="440" w:after="160"/>
        <w:pBdr>
          <w:bottom w:val="single" w:sz="12" w:space="4" w:color="1A0B2E"/>
        </w:pBdr>
      </w:pPr>
      <w:r>
        <w:rPr>
          <w:rFonts w:ascii="Calibri" w:hAnsi="Calibri"/>
          <w:b/>
          <w:color w:val="1A0B2E"/>
          <w:sz w:val="36"/>
        </w:rPr>
        <w:t>DOCUMENT 4: Application Flow Architecture</w:t>
      </w:r>
    </w:p>
    <w:p>
      <w:pPr>
        <w:keepNext/>
        <w:spacing w:before="280" w:after="120"/>
      </w:pPr>
      <w:r>
        <w:rPr>
          <w:rFonts w:ascii="Calibri" w:hAnsi="Calibri"/>
          <w:b/>
          <w:color w:val="1A0B2E"/>
          <w:sz w:val="28"/>
        </w:rPr>
        <w:t>1. End-to-End Execution Sequence</w:t>
      </w:r>
    </w:p>
    <w:p>
      <w:pPr>
        <w:spacing w:after="120" w:line="276" w:lineRule="auto"/>
      </w:pPr>
      <w:r>
        <w:t>1. Data Ingestion -&gt; Purchase order telemetry and vendor metrics stream via Kafka into PostgreSQL.</w:t>
      </w:r>
    </w:p>
    <w:p>
      <w:pPr>
        <w:spacing w:after="120" w:line="276" w:lineRule="auto"/>
      </w:pPr>
      <w:r>
        <w:t>2. Feature Extraction -&gt; In-memory calculation of defect rate, late delivery ratio, and price variance.</w:t>
      </w:r>
    </w:p>
    <w:p>
      <w:pPr>
        <w:spacing w:after="120" w:line="276" w:lineRule="auto"/>
      </w:pPr>
      <w:r>
        <w:t>3. ML Risk Scoring -&gt; XGBoost model evaluates features and updates dynamic risk score (0-100).</w:t>
      </w:r>
    </w:p>
    <w:p>
      <w:pPr>
        <w:spacing w:after="120" w:line="276" w:lineRule="auto"/>
      </w:pPr>
      <w:r>
        <w:t>4. Alert Triggering -&gt; Scores &gt;= 75 trigger instant mobile push alerts and populate the Next.js workspace.</w:t>
      </w:r>
    </w:p>
    <w:p>
      <w:pPr>
        <w:spacing w:after="120" w:line="276" w:lineRule="auto"/>
      </w:pPr>
      <w:r>
        <w:t>5. What-If Optimization -&gt; User runs scenario simulation; SciPy solver calculates alternative order split.</w:t>
      </w:r>
    </w:p>
    <w:p>
      <w:pPr>
        <w:spacing w:after="120" w:line="276" w:lineRule="auto"/>
      </w:pPr>
      <w:r>
        <w:t>6. LLM Briefing -&gt; LangChain pipeline generates an executive summary report stored in MongoDB.</w:t>
      </w:r>
    </w:p>
    <w:p>
      <w:pPr>
        <w:keepNext/>
        <w:spacing w:before="440" w:after="160"/>
        <w:pBdr>
          <w:bottom w:val="single" w:sz="12" w:space="4" w:color="1A0B2E"/>
        </w:pBdr>
      </w:pPr>
      <w:r>
        <w:rPr>
          <w:rFonts w:ascii="Calibri" w:hAnsi="Calibri"/>
          <w:b/>
          <w:color w:val="1A0B2E"/>
          <w:sz w:val="36"/>
        </w:rPr>
        <w:t>DOCUMENT 5: Backend Database Schemas</w:t>
      </w:r>
    </w:p>
    <w:p>
      <w:pPr>
        <w:keepNext/>
        <w:spacing w:before="280" w:after="120"/>
      </w:pPr>
      <w:r>
        <w:rPr>
          <w:rFonts w:ascii="Calibri" w:hAnsi="Calibri"/>
          <w:b/>
          <w:color w:val="1A0B2E"/>
          <w:sz w:val="28"/>
        </w:rPr>
        <w:t>1. PostgreSQL Relational Schema</w:t>
      </w:r>
    </w:p>
    <w:p>
      <w:pPr>
        <w:spacing w:after="120" w:line="276" w:lineRule="auto"/>
      </w:pPr>
      <w:r>
        <w:t>CREATE TABLE suppliers (supplier_id UUID PRIMARY KEY, name VARCHAR(255), tier INT, risk_score FLOAT, status VARCHAR(50));</w:t>
      </w:r>
    </w:p>
    <w:p>
      <w:pPr>
        <w:spacing w:after="120" w:line="276" w:lineRule="auto"/>
      </w:pPr>
      <w:r>
        <w:t>CREATE TABLE purchase_orders (po_id UUID PRIMARY KEY, supplier_id UUID REFERENCES suppliers, expected_date TIMESTAMP, quantity INT, status VARCHAR(50));</w:t>
      </w:r>
    </w:p>
    <w:p>
      <w:pPr>
        <w:keepNext/>
        <w:spacing w:before="280" w:after="120"/>
      </w:pPr>
      <w:r>
        <w:rPr>
          <w:rFonts w:ascii="Calibri" w:hAnsi="Calibri"/>
          <w:b/>
          <w:color w:val="1A0B2E"/>
          <w:sz w:val="28"/>
        </w:rPr>
        <w:t>2. MongoDB Document Schema (LLM Reports)</w:t>
      </w:r>
    </w:p>
    <w:p>
      <w:pPr>
        <w:spacing w:after="120" w:line="276" w:lineRule="auto"/>
      </w:pPr>
      <w:r>
        <w:t>Collection: procurement_reports -&gt; { report_id: UUID, supplier_id: UUID, risk_score: 87, shap_factors: [...], llm_summary: String, created_at: ISODate }</w:t>
      </w:r>
    </w:p>
    <w:p>
      <w:pPr>
        <w:keepNext/>
        <w:spacing w:before="280" w:after="120"/>
      </w:pPr>
      <w:r>
        <w:rPr>
          <w:rFonts w:ascii="Calibri" w:hAnsi="Calibri"/>
          <w:b/>
          <w:color w:val="1A0B2E"/>
          <w:sz w:val="28"/>
        </w:rPr>
        <w:t>3. Neo4j Graph Schema (Multi-Tier Dependencies)</w:t>
      </w:r>
    </w:p>
    <w:p>
      <w:pPr>
        <w:spacing w:after="120" w:line="276" w:lineRule="auto"/>
      </w:pPr>
      <w:r>
        <w:t>Nodes: (:Supplier), (:RawMaterial), (:Factory) | Relationships: -[:SUPPLIES_TO]-&gt;, -[:DEPENDS_ON]-&gt;</w:t>
      </w:r>
    </w:p>
    <w:p>
      <w:pPr>
        <w:keepNext/>
        <w:spacing w:before="440" w:after="160"/>
        <w:pBdr>
          <w:bottom w:val="single" w:sz="12" w:space="4" w:color="1A0B2E"/>
        </w:pBdr>
      </w:pPr>
      <w:r>
        <w:rPr>
          <w:rFonts w:ascii="Calibri" w:hAnsi="Calibri"/>
          <w:b/>
          <w:color w:val="1A0B2E"/>
          <w:sz w:val="36"/>
        </w:rPr>
        <w:t>DOCUMENT 6: Implementation &amp; Deployment Plan</w:t>
      </w:r>
    </w:p>
    <w:p>
      <w:pPr>
        <w:keepNext/>
        <w:spacing w:before="280" w:after="120"/>
      </w:pPr>
      <w:r>
        <w:rPr>
          <w:rFonts w:ascii="Calibri" w:hAnsi="Calibri"/>
          <w:b/>
          <w:color w:val="1A0B2E"/>
          <w:sz w:val="28"/>
        </w:rPr>
        <w:t>1. Milestone Schedule</w:t>
      </w:r>
    </w:p>
    <w:p>
      <w:pPr>
        <w:spacing w:after="120" w:line="276" w:lineRule="auto"/>
      </w:pPr>
      <w:r>
        <w:rPr>
          <w:b/>
          <w:color w:val="1A0B2E"/>
        </w:rPr>
        <w:t xml:space="preserve">• Phase 1 (Weeks 1-2): </w:t>
      </w:r>
      <w:r>
        <w:t>Monorepo initialization, Docker Compose configuration, PostgreSQL/MongoDB/Neo4j setup.</w:t>
      </w:r>
    </w:p>
    <w:p>
      <w:pPr>
        <w:spacing w:after="120" w:line="276" w:lineRule="auto"/>
      </w:pPr>
      <w:r>
        <w:rPr>
          <w:b/>
          <w:color w:val="1A0B2E"/>
        </w:rPr>
        <w:t xml:space="preserve">• Phase 2 (Weeks 3-4): </w:t>
      </w:r>
      <w:r>
        <w:t>XGBoost scoring model development and Prophet time-series demand forecasting pipeline.</w:t>
      </w:r>
    </w:p>
    <w:p>
      <w:pPr>
        <w:spacing w:after="120" w:line="276" w:lineRule="auto"/>
      </w:pPr>
      <w:r>
        <w:rPr>
          <w:b/>
          <w:color w:val="1A0B2E"/>
        </w:rPr>
        <w:t xml:space="preserve">• Phase 3 (Weeks 5-6): </w:t>
      </w:r>
      <w:r>
        <w:t>SciPy linear programming solver for What-If re-allocation and LangChain LLM reporting engine.</w:t>
      </w:r>
    </w:p>
    <w:p>
      <w:pPr>
        <w:spacing w:after="120" w:line="276" w:lineRule="auto"/>
      </w:pPr>
      <w:r>
        <w:rPr>
          <w:b/>
          <w:color w:val="1A0B2E"/>
        </w:rPr>
        <w:t xml:space="preserve">• Phase 4 (Weeks 7-8): </w:t>
      </w:r>
      <w:r>
        <w:t>Next.js operational workspace, public landing page, and customer/supplier portal implementation.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