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1A0B2E"/>
          <w:sz w:val="48"/>
        </w:rPr>
        <w:t>LOGISKIP PLATFORM SPECIFICATIONS</w:t>
      </w:r>
    </w:p>
    <w:p>
      <w:pPr>
        <w:spacing w:after="360"/>
      </w:pPr>
      <w:r>
        <w:rPr>
          <w:rFonts w:ascii="Calibri" w:hAnsi="Calibri"/>
          <w:color w:val="666666"/>
          <w:sz w:val="26"/>
        </w:rPr>
        <w:t>AI Supply Chain Risk Prediction &amp; Procurement Optimization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F8"/>
            <w:tcBorders>
              <w:top w:val="none"/>
              <w:left w:val="single" w:sz="24" w:space="0" w:color="1A0B2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1A0B2E"/>
                <w:sz w:val="22"/>
              </w:rPr>
              <w:t>📦 Platform Vision</w:t>
              <w:br/>
            </w:r>
            <w:r>
              <w:rPr>
                <w:sz w:val="20"/>
              </w:rPr>
              <w:t>Logiskip predicts supplier risk before bottlenecks hit production. Combining time-series demand forecasting, ML failure classification, linear programming optimization, and LLM procurement reporting, Logiskip turns reactive logistics into predictive strategy.</w:t>
            </w:r>
          </w:p>
        </w:tc>
      </w:tr>
    </w:tbl>
    <w:p>
      <w:pPr>
        <w:spacing w:after="120"/>
      </w:pPr>
    </w:p>
    <w:p>
      <w:pPr>
        <w:keepNext/>
        <w:spacing w:before="360" w:after="160"/>
        <w:pBdr>
          <w:bottom w:val="single" w:sz="12" w:space="4" w:color="1A0B2E"/>
        </w:pBdr>
      </w:pPr>
      <w:r>
        <w:rPr>
          <w:rFonts w:ascii="Calibri" w:hAnsi="Calibri"/>
          <w:b/>
          <w:color w:val="1A0B2E"/>
          <w:sz w:val="36"/>
        </w:rPr>
        <w:t>PART I: Product Requirement Document (PRD)</w:t>
      </w:r>
    </w:p>
    <w:p>
      <w:pPr>
        <w:keepNext/>
        <w:spacing w:before="280" w:after="120"/>
      </w:pPr>
      <w:r>
        <w:rPr>
          <w:rFonts w:ascii="Calibri" w:hAnsi="Calibri"/>
          <w:b/>
          <w:color w:val="1A0B2E"/>
          <w:sz w:val="28"/>
        </w:rPr>
        <w:t>1. Problem Statement &amp; Core Value Proposition</w:t>
      </w:r>
    </w:p>
    <w:p>
      <w:pPr>
        <w:spacing w:after="120" w:line="276" w:lineRule="auto"/>
      </w:pPr>
      <w:r>
        <w:t>Global enterprises manage thousands of suppliers across complex multi-tiered supply networks [cite: 4]. Unannounced delivery delays, quality defects, unexpected price surges, and capacity shortfalls lead to catastrophic production line halts [cite: 4]. Traditional ERP systems track historical events after damage has occurred. Logiskip predicts supplier risk before orders are placed, providing automated alternative supplier ranking and AI-generated executive mitigation reports [cite: 4].</w:t>
      </w:r>
    </w:p>
    <w:p>
      <w:pPr>
        <w:keepNext/>
        <w:spacing w:before="280" w:after="120"/>
      </w:pPr>
      <w:r>
        <w:rPr>
          <w:rFonts w:ascii="Calibri" w:hAnsi="Calibri"/>
          <w:b/>
          <w:color w:val="1A0B2E"/>
          <w:sz w:val="28"/>
        </w:rPr>
        <w:t>2. Target Metrics &amp; Objectives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0B2E"/>
          </w:tcPr>
          <w:p>
            <w:r>
              <w:rPr>
                <w:b/>
                <w:color w:val="FFFFFF"/>
              </w:rPr>
              <w:t>Key Performance Indicator</w:t>
            </w:r>
          </w:p>
        </w:tc>
        <w:tc>
          <w:tcPr>
            <w:tcW w:type="dxa" w:w="3312"/>
            <w:shd w:fill="1A0B2E"/>
          </w:tcPr>
          <w:p>
            <w:r>
              <w:rPr>
                <w:b/>
                <w:color w:val="FFFFFF"/>
              </w:rPr>
              <w:t>Traditional Procurement</w:t>
            </w:r>
          </w:p>
        </w:tc>
        <w:tc>
          <w:tcPr>
            <w:tcW w:type="dxa" w:w="3312"/>
            <w:shd w:fill="1A0B2E"/>
          </w:tcPr>
          <w:p>
            <w:r>
              <w:rPr>
                <w:b/>
                <w:color w:val="FFFFFF"/>
              </w:rPr>
              <w:t>Logiskip Target</w:t>
            </w:r>
          </w:p>
        </w:tc>
      </w:tr>
      <w:tr>
        <w:tc>
          <w:tcPr>
            <w:tcW w:type="dxa" w:w="3312"/>
          </w:tcPr>
          <w:p>
            <w:r>
              <w:t>Risk Prediction Horizon</w:t>
            </w:r>
          </w:p>
        </w:tc>
        <w:tc>
          <w:tcPr>
            <w:tcW w:type="dxa" w:w="3312"/>
          </w:tcPr>
          <w:p>
            <w:r>
              <w:t>Post-Incident Reaction</w:t>
            </w:r>
          </w:p>
        </w:tc>
        <w:tc>
          <w:tcPr>
            <w:tcW w:type="dxa" w:w="3312"/>
          </w:tcPr>
          <w:p>
            <w:r>
              <w:t>30–90 Days Advanced Warning</w:t>
            </w:r>
          </w:p>
        </w:tc>
      </w:tr>
      <w:tr>
        <w:tc>
          <w:tcPr>
            <w:tcW w:type="dxa" w:w="3312"/>
            <w:shd w:fill="F4F1F8"/>
          </w:tcPr>
          <w:p>
            <w:r>
              <w:t>Supplier Risk Scoring Precision</w:t>
            </w:r>
          </w:p>
        </w:tc>
        <w:tc>
          <w:tcPr>
            <w:tcW w:type="dxa" w:w="3312"/>
            <w:shd w:fill="F4F1F8"/>
          </w:tcPr>
          <w:p>
            <w:r>
              <w:t>Manual Annual Audits</w:t>
            </w:r>
          </w:p>
        </w:tc>
        <w:tc>
          <w:tcPr>
            <w:tcW w:type="dxa" w:w="3312"/>
            <w:shd w:fill="F4F1F8"/>
          </w:tcPr>
          <w:p>
            <w:r>
              <w:t>Continuous Dynamic Score (0-100)</w:t>
            </w:r>
          </w:p>
        </w:tc>
      </w:tr>
      <w:tr>
        <w:tc>
          <w:tcPr>
            <w:tcW w:type="dxa" w:w="3312"/>
          </w:tcPr>
          <w:p>
            <w:r>
              <w:t>Demand Forecast Error (MAPE)</w:t>
            </w:r>
          </w:p>
        </w:tc>
        <w:tc>
          <w:tcPr>
            <w:tcW w:type="dxa" w:w="3312"/>
          </w:tcPr>
          <w:p>
            <w:r>
              <w:t>18% - 25%</w:t>
            </w:r>
          </w:p>
        </w:tc>
        <w:tc>
          <w:tcPr>
            <w:tcW w:type="dxa" w:w="3312"/>
          </w:tcPr>
          <w:p>
            <w:r>
              <w:t>&lt; 8% MAPE (Prophet/LightGBM)</w:t>
            </w:r>
          </w:p>
        </w:tc>
      </w:tr>
      <w:tr>
        <w:tc>
          <w:tcPr>
            <w:tcW w:type="dxa" w:w="3312"/>
            <w:shd w:fill="F4F1F8"/>
          </w:tcPr>
          <w:p>
            <w:r>
              <w:t>Executive Mitigation Report Time</w:t>
            </w:r>
          </w:p>
        </w:tc>
        <w:tc>
          <w:tcPr>
            <w:tcW w:type="dxa" w:w="3312"/>
            <w:shd w:fill="F4F1F8"/>
          </w:tcPr>
          <w:p>
            <w:r>
              <w:t>4 - 8 Hours Manual Drafting</w:t>
            </w:r>
          </w:p>
        </w:tc>
        <w:tc>
          <w:tcPr>
            <w:tcW w:type="dxa" w:w="3312"/>
            <w:shd w:fill="F4F1F8"/>
          </w:tcPr>
          <w:p>
            <w:r>
              <w:t>&lt; 15 Seconds (LLM-Generated)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0B2E"/>
          <w:sz w:val="28"/>
        </w:rPr>
        <w:t>3. Core Functional Requirements</w:t>
      </w:r>
    </w:p>
    <w:p>
      <w:pPr>
        <w:spacing w:after="120" w:line="276" w:lineRule="auto"/>
      </w:pPr>
      <w:r>
        <w:rPr>
          <w:b/>
          <w:color w:val="1A0B2E"/>
        </w:rPr>
        <w:t xml:space="preserve">• Predictive Supplier Risk Scoring: </w:t>
      </w:r>
      <w:r>
        <w:t>Consistently evaluates historical late deliveries, defect rates, order volumes, price fluctuations, and financial health to assign a live 0–100 risk score [cite: 4].</w:t>
      </w:r>
    </w:p>
    <w:p>
      <w:pPr>
        <w:spacing w:after="120" w:line="276" w:lineRule="auto"/>
      </w:pPr>
      <w:r>
        <w:rPr>
          <w:b/>
          <w:color w:val="1A0B2E"/>
        </w:rPr>
        <w:t xml:space="preserve">• Automated Demand Forecasting: </w:t>
      </w:r>
      <w:r>
        <w:t>Time-series demand forecasting engine using Prophet and LightGBM to anticipate inventory requirements and capacity constraints [cite: 4].</w:t>
      </w:r>
    </w:p>
    <w:p>
      <w:pPr>
        <w:spacing w:after="120" w:line="276" w:lineRule="auto"/>
      </w:pPr>
      <w:r>
        <w:rPr>
          <w:b/>
          <w:color w:val="1A0B2E"/>
        </w:rPr>
        <w:t xml:space="preserve">• What-If Simulation Engine: </w:t>
      </w:r>
      <w:r>
        <w:t>Enables procurement managers to simulate price hikes, trade route disruptions, or supplier bankruptcies to re-optimize allocation [cite: 4].</w:t>
      </w:r>
    </w:p>
    <w:p>
      <w:pPr>
        <w:spacing w:after="120" w:line="276" w:lineRule="auto"/>
      </w:pPr>
      <w:r>
        <w:rPr>
          <w:b/>
          <w:color w:val="1A0B2E"/>
        </w:rPr>
        <w:t xml:space="preserve">• AI-Generated Procurement Reports: </w:t>
      </w:r>
      <w:r>
        <w:t>Automated synthesis of supplier risk profiles, bottleneck root causes, and recommended re-allocation plans [cite: 4].</w:t>
      </w:r>
    </w:p>
    <w:p>
      <w:pPr>
        <w:keepNext/>
        <w:spacing w:before="360" w:after="160"/>
        <w:pBdr>
          <w:bottom w:val="single" w:sz="12" w:space="4" w:color="1A0B2E"/>
        </w:pBdr>
      </w:pPr>
      <w:r>
        <w:rPr>
          <w:rFonts w:ascii="Calibri" w:hAnsi="Calibri"/>
          <w:b/>
          <w:color w:val="1A0B2E"/>
          <w:sz w:val="36"/>
        </w:rPr>
        <w:t>PART II: Technical Requirement Document (TRD)</w:t>
      </w:r>
    </w:p>
    <w:p>
      <w:pPr>
        <w:keepNext/>
        <w:spacing w:before="280" w:after="120"/>
      </w:pPr>
      <w:r>
        <w:rPr>
          <w:rFonts w:ascii="Calibri" w:hAnsi="Calibri"/>
          <w:b/>
          <w:color w:val="1A0B2E"/>
          <w:sz w:val="28"/>
        </w:rPr>
        <w:t>1. System Architecture</w:t>
      </w:r>
    </w:p>
    <w:p>
      <w:pPr>
        <w:spacing w:after="120" w:line="276" w:lineRule="auto"/>
      </w:pPr>
      <w:r>
        <w:t>Next.js web workspace featuring interactive risk dashboards, supplier ranking tables, supply network graph visualization, and scenario simulators.</w:t>
      </w:r>
    </w:p>
    <w:p>
      <w:pPr>
        <w:spacing w:after="120" w:line="276" w:lineRule="auto"/>
      </w:pPr>
      <w:r>
        <w:t>Asynchronous Python FastAPI services managing ML time-series models, risk scoring classifiers, linear programming optimization, and RAG/LLM reporting engines.</w:t>
      </w:r>
    </w:p>
    <w:p>
      <w:pPr>
        <w:spacing w:after="120" w:line="276" w:lineRule="auto"/>
      </w:pPr>
      <w:r>
        <w:t>PostgreSQL for core enterprise data, Neo4j for multi-tier supplier dependency graphs, and MongoDB for unstructured procurement reports.</w:t>
      </w:r>
    </w:p>
    <w:p>
      <w:pPr>
        <w:keepNext/>
        <w:spacing w:before="280" w:after="120"/>
      </w:pPr>
      <w:r>
        <w:rPr>
          <w:rFonts w:ascii="Calibri" w:hAnsi="Calibri"/>
          <w:b/>
          <w:color w:val="1A0B2E"/>
          <w:sz w:val="28"/>
        </w:rPr>
        <w:t>2. Microservices Distribution</w:t>
      </w:r>
    </w:p>
    <w:p>
      <w:pPr>
        <w:spacing w:after="120" w:line="276" w:lineRule="auto"/>
      </w:pPr>
      <w:r>
        <w:rPr>
          <w:b/>
          <w:color w:val="1A0B2E"/>
        </w:rPr>
        <w:t xml:space="preserve">1. Feature Engineering Service: </w:t>
      </w:r>
      <w:r>
        <w:t>In-memory feature calculation for lead-time variance, defect trends, and price volatility.</w:t>
      </w:r>
    </w:p>
    <w:p>
      <w:pPr>
        <w:spacing w:after="120" w:line="276" w:lineRule="auto"/>
      </w:pPr>
      <w:r>
        <w:rPr>
          <w:b/>
          <w:color w:val="1A0B2E"/>
        </w:rPr>
        <w:t xml:space="preserve">2. ML Risk Scoring Engine: </w:t>
      </w:r>
      <w:r>
        <w:t>XGBoost classifier producing probability of delivery failure within 30 days.</w:t>
      </w:r>
    </w:p>
    <w:p>
      <w:pPr>
        <w:spacing w:after="120" w:line="276" w:lineRule="auto"/>
      </w:pPr>
      <w:r>
        <w:rPr>
          <w:b/>
          <w:color w:val="1A0B2E"/>
        </w:rPr>
        <w:t xml:space="preserve">3. Demand Forecasting Service: </w:t>
      </w:r>
      <w:r>
        <w:t>Prophet / NeuralProphet engine forecasting quarterly inventory demand.</w:t>
      </w:r>
    </w:p>
    <w:p>
      <w:pPr>
        <w:spacing w:after="120" w:line="276" w:lineRule="auto"/>
      </w:pPr>
      <w:r>
        <w:rPr>
          <w:b/>
          <w:color w:val="1A0B2E"/>
        </w:rPr>
        <w:t xml:space="preserve">4. What-If &amp; Optimization Engine: </w:t>
      </w:r>
      <w:r>
        <w:t>SciPy / OR-Tools linear programming solver for optimal order re-allocation.</w:t>
      </w:r>
    </w:p>
    <w:p>
      <w:pPr>
        <w:spacing w:after="120" w:line="276" w:lineRule="auto"/>
      </w:pPr>
      <w:r>
        <w:rPr>
          <w:b/>
          <w:color w:val="1A0B2E"/>
        </w:rPr>
        <w:t xml:space="preserve">5. LLM Procurement Reporter: </w:t>
      </w:r>
      <w:r>
        <w:t>LangChain / LlamaIndex pipeline generating executive PDF/Doc summary reports.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