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60" w:before="1100"/>
        <w:jc w:val="center"/>
      </w:pPr>
      <w:r>
        <w:rPr>
          <w:rFonts w:ascii="Arial" w:cs="Arial" w:eastAsia="Microsoft YaHei" w:hAnsi="Arial"/>
          <w:b/>
          <w:bCs/>
          <w:color w:val="20364A"/>
          <w:sz w:val="42"/>
          <w:szCs w:val="42"/>
        </w:rPr>
        <w:t xml:space="preserve">SK海力士 2026Q2 业绩点评</w:t>
      </w:r>
    </w:p>
    <w:p>
      <w:pPr>
        <w:spacing w:after="420"/>
        <w:jc w:val="center"/>
      </w:pPr>
      <w:r>
        <w:rPr>
          <w:rFonts w:ascii="Arial" w:cs="Arial" w:eastAsia="Microsoft YaHei" w:hAnsi="Arial"/>
          <w:color w:val="315B7D"/>
          <w:sz w:val="26"/>
          <w:szCs w:val="26"/>
        </w:rPr>
        <w:t xml:space="preserve">主营创纪录但低于高预期，净利润含大额投资资产收益</w:t>
      </w:r>
    </w:p>
    <w:p>
      <w:pPr>
        <w:spacing w:after="140" w:line="300"/>
        <w:jc w:val="center"/>
      </w:pPr>
      <w:r>
        <w:rPr>
          <w:rFonts w:ascii="Arial" w:cs="Arial" w:eastAsia="Microsoft YaHei" w:hAnsi="Arial"/>
          <w:sz w:val="20"/>
          <w:szCs w:val="20"/>
        </w:rPr>
        <w:t xml:space="preserve">报告期：2026年4月1日至6月30日｜发布日期：2026年7月29日</w:t>
      </w:r>
    </w:p>
    <w:p>
      <w:pPr>
        <w:spacing w:after="420"/>
        <w:jc w:val="center"/>
      </w:pPr>
      <w:r>
        <w:rPr>
          <w:rFonts w:ascii="Arial" w:cs="Arial" w:eastAsia="Microsoft YaHei" w:hAnsi="Arial"/>
          <w:color w:val="6F8796"/>
          <w:sz w:val="20"/>
          <w:szCs w:val="20"/>
        </w:rPr>
        <w:t xml:space="preserve">信息截止：2026年10月26日｜合并 K-IFRS｜金额单位：万亿韩元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blHeader/>
        </w:trPr>
        <w:tc>
          <w:tcPr>
            <w:tcW w:type="dxa" w:w="9000"/>
            <w:shd w:fill="2036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核心判断</w:t>
            </w:r>
          </w:p>
        </w:tc>
      </w:tr>
      <w:tr>
        <w:tc>
          <w:tcPr>
            <w:tcW w:type="dxa" w:w="9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经营层面：DRAM与NAND涨价、AI服务器产品放量和成本改善共同推动收入及营业利润率创纪录。盈利质量：约63.27万亿韩元投资资产相关收益使净利润高于收入，不能据118%净利率外推主营盈利。现金层面：经营现金流覆盖资本开支，但含投资相关股利；后续高资本开支与40万亿韩元回购将消耗现金。</w:t>
            </w:r>
          </w:p>
        </w:tc>
      </w:tr>
    </w:tbl>
    <w:p>
      <w:pPr>
        <w:spacing w:before="360"/>
        <w:jc w:val="center"/>
      </w:pPr>
      <w:r>
        <w:rPr>
          <w:rFonts w:ascii="Arial" w:cs="Arial" w:eastAsia="Microsoft YaHei" w:hAnsi="Arial"/>
          <w:color w:val="6F8796"/>
          <w:sz w:val="18"/>
          <w:szCs w:val="18"/>
        </w:rPr>
        <w:t xml:space="preserve">本报告为财务解读，不构成投资建议。</w:t>
      </w:r>
    </w:p>
    <w:p>
      <w:r>
        <w:br w:type="page"/>
      </w:r>
    </w:p>
    <w:p>
      <w:pPr>
        <w:pStyle w:val="Heading1"/>
        <w:spacing w:after="140" w:line="300"/>
      </w:pPr>
      <w:r>
        <w:rPr>
          <w:rFonts w:ascii="Arial" w:cs="Arial" w:eastAsia="Microsoft YaHei" w:hAnsi="Arial"/>
          <w:b/>
          <w:bCs/>
          <w:color w:val="20364A"/>
          <w:sz w:val="30"/>
          <w:szCs w:val="30"/>
        </w:rPr>
        <w:t xml:space="preserve">目录</w:t>
      </w:r>
    </w:p>
    <w:p>
      <w:pPr>
        <w:spacing w:after="100" w:line="260"/>
      </w:pPr>
      <w:r>
        <w:rPr>
          <w:rFonts w:ascii="Arial" w:cs="Arial" w:eastAsia="Microsoft YaHei" w:hAnsi="Arial"/>
          <w:color w:val="6F8796"/>
          <w:sz w:val="18"/>
          <w:szCs w:val="18"/>
        </w:rPr>
        <w:t xml:space="preserve">页码为排版参考；在 Word/WPS 中右键目录并选择“更新域”可刷新。</w:t>
      </w:r>
    </w:p>
    <w:sdt xmlns:w="http://schemas.openxmlformats.org/wordprocessingml/2006/main">
      <w:sdtPr>
        <w:alias w:val="目录"/>
      </w:sdtPr>
      <w:sdtContent>
        <w:p>
          <w:r>
            <w:fldChar w:fldCharType="begin" w:dirty="true"/>
            <w:instrText xml:space="preserve"> TOC \o "1-3" \h \z \u </w:instrText>
            <w:fldChar w:fldCharType="separate"/>
          </w:r>
        </w:p>
        <w:p>
          <w:pPr>
            <w:tabs>
              <w:tab w:val="right" w:leader="dot" w:pos="9000"/>
            </w:tabs>
            <w:ind w:left="0"/>
          </w:pPr>
          <w:r>
            <w:t>一、报告期、发布日期与核心结论</w:t>
          </w:r>
          <w:r>
            <w:tab/>
          </w:r>
          <w:r>
            <w:t>3</w:t>
          </w:r>
        </w:p>
        <w:p>
          <w:pPr>
            <w:tabs>
              <w:tab w:val="right" w:leader="dot" w:pos="9000"/>
            </w:tabs>
            <w:ind w:left="0"/>
          </w:pPr>
          <w:r>
            <w:t>二、收入与利润率：价格为主，出货量与产品组合为辅</w:t>
          </w:r>
          <w:r>
            <w:tab/>
          </w:r>
          <w:r>
            <w:t>4</w:t>
          </w:r>
        </w:p>
        <w:p>
          <w:pPr>
            <w:tabs>
              <w:tab w:val="right" w:leader="dot" w:pos="9000"/>
            </w:tabs>
            <w:ind w:left="0"/>
          </w:pPr>
          <w:r>
            <w:t>三、净利润拆解：经营改善与非经营收益必须分开</w:t>
          </w:r>
          <w:r>
            <w:tab/>
          </w:r>
          <w:r>
            <w:t>6</w:t>
          </w:r>
        </w:p>
        <w:p>
          <w:pPr>
            <w:tabs>
              <w:tab w:val="right" w:leader="dot" w:pos="9000"/>
            </w:tabs>
            <w:ind w:left="0"/>
          </w:pPr>
          <w:r>
            <w:t>四、现金流：跟得上，但并非全部来自芯片经营</w:t>
          </w:r>
          <w:r>
            <w:tab/>
          </w:r>
          <w:r>
            <w:t>7</w:t>
          </w:r>
        </w:p>
        <w:p>
          <w:pPr>
            <w:tabs>
              <w:tab w:val="right" w:leader="dot" w:pos="9000"/>
            </w:tabs>
            <w:ind w:left="0"/>
          </w:pPr>
          <w:r>
            <w:t>五、与财报公布前预期比较</w:t>
          </w:r>
          <w:r>
            <w:tab/>
          </w:r>
          <w:r>
            <w:t>9</w:t>
          </w:r>
        </w:p>
        <w:p>
          <w:pPr>
            <w:tabs>
              <w:tab w:val="right" w:leader="dot" w:pos="9000"/>
            </w:tabs>
            <w:ind w:left="0"/>
          </w:pPr>
          <w:r>
            <w:t>六、后续展望与二季度后事项</w:t>
          </w:r>
          <w:r>
            <w:tab/>
          </w:r>
          <w:r>
            <w:t>10</w:t>
          </w:r>
        </w:p>
        <w:p>
          <w:pPr>
            <w:tabs>
              <w:tab w:val="right" w:leader="dot" w:pos="9000"/>
            </w:tabs>
            <w:ind w:left="0"/>
          </w:pPr>
          <w:r>
            <w:t>七、主要风险与跟踪指标</w:t>
          </w:r>
          <w:r>
            <w:tab/>
          </w:r>
          <w:r>
            <w:t>11</w:t>
          </w:r>
        </w:p>
        <w:p>
          <w:pPr>
            <w:tabs>
              <w:tab w:val="right" w:leader="dot" w:pos="9000"/>
            </w:tabs>
            <w:ind w:left="0"/>
          </w:pPr>
          <w:r>
            <w:t>八、口径、来源与限制</w:t>
          </w:r>
          <w:r>
            <w:tab/>
          </w:r>
          <w:r>
            <w:t>12</w:t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Microsoft YaHei" w:hAnsi="Arial"/>
          <w:b/>
          <w:bCs/>
          <w:color w:val="20364A"/>
          <w:sz w:val="30"/>
          <w:szCs w:val="30"/>
        </w:rPr>
        <w:t xml:space="preserve">一、报告期、发布日期与核心结论</w:t>
      </w:r>
    </w:p>
    <w:p>
      <w:pPr>
        <w:spacing w:after="140" w:line="300"/>
        <w:ind w:firstLine="431"/>
      </w:pPr>
      <w:r>
        <w:rPr>
          <w:rFonts w:ascii="Arial" w:cs="Arial" w:eastAsia="Microsoft YaHei" w:hAnsi="Arial"/>
          <w:sz w:val="21"/>
          <w:szCs w:val="21"/>
        </w:rPr>
        <w:t xml:space="preserve">截至2026年10月26日，SK海力士最近一期已经公布的季度业绩为2026年第二季度，报告期是2026年4月1日至6月30日，于2026年7月29日发布。公司另于2026年10月21日通知，第三季度业绩将在2026年10月28日发布，因此本报告不使用任何第三季度预测值代替已披露实际值。</w:t>
      </w:r>
      <w:r>
        <w:rPr>
          <w:rStyle w:val="FootnoteReference"/>
        </w:rPr>
        <w:footnoteReference w:id="1"/>
      </w:r>
      <w:r>
        <w:rPr>
          <w:rFonts w:ascii="Arial" w:cs="Arial" w:eastAsia="Microsoft YaHei" w:hAnsi="Arial"/>
          <w:sz w:val="21"/>
          <w:szCs w:val="21"/>
        </w:rPr>
        <w:t xml:space="preserve"/>
      </w:r>
    </w:p>
    <w:p>
      <w:pPr>
        <w:spacing w:after="140" w:line="300"/>
        <w:ind w:firstLine="431"/>
      </w:pPr>
      <w:r>
        <w:rPr>
          <w:rFonts w:ascii="Arial" w:cs="Arial" w:eastAsia="Microsoft YaHei" w:hAnsi="Arial"/>
          <w:sz w:val="21"/>
          <w:szCs w:val="21"/>
        </w:rPr>
        <w:t xml:space="preserve">第二季度业绩发布材料为初步值；随后提交的半年度业务报告覆盖2026年1月1日至6月30日，提供上半年累计利润表和现金流。本文将单季度与上半年累计分列，全部金额统一为万亿韩元；财务数据均为合并 K-IFRS 口径。</w:t>
      </w:r>
      <w:r>
        <w:rPr>
          <w:rStyle w:val="FootnoteReference"/>
        </w:rPr>
        <w:footnoteReference w:id="2"/>
      </w:r>
      <w:r>
        <w:rPr>
          <w:rFonts w:ascii="Arial" w:cs="Arial" w:eastAsia="Microsoft YaHei" w:hAnsi="Arial"/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50"/>
        <w:gridCol w:w="1450"/>
        <w:gridCol w:w="1250"/>
        <w:gridCol w:w="1450"/>
        <w:gridCol w:w="1250"/>
        <w:gridCol w:w="1050"/>
      </w:tblGrid>
      <w:tr>
        <w:trPr>
          <w:tblHeader/>
        </w:trPr>
        <w:tc>
          <w:tcPr>
            <w:tcW w:type="dxa" w:w="1700"/>
            <w:shd w:fill="2036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1450"/>
            <w:shd w:fill="2036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2026Q2</w:t>
            </w:r>
          </w:p>
        </w:tc>
        <w:tc>
          <w:tcPr>
            <w:tcW w:type="dxa" w:w="1450"/>
            <w:shd w:fill="2036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2026Q1</w:t>
            </w:r>
          </w:p>
        </w:tc>
        <w:tc>
          <w:tcPr>
            <w:tcW w:type="dxa" w:w="1250"/>
            <w:shd w:fill="2036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环比</w:t>
            </w:r>
          </w:p>
        </w:tc>
        <w:tc>
          <w:tcPr>
            <w:tcW w:type="dxa" w:w="1450"/>
            <w:shd w:fill="2036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2025Q2</w:t>
            </w:r>
          </w:p>
        </w:tc>
        <w:tc>
          <w:tcPr>
            <w:tcW w:type="dxa" w:w="1250"/>
            <w:shd w:fill="2036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同比</w:t>
            </w:r>
          </w:p>
        </w:tc>
        <w:tc>
          <w:tcPr>
            <w:tcW w:type="dxa" w:w="1050"/>
            <w:shd w:fill="2036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2026H1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营业收入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79.319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52.576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+50.9%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22.232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+256.8%</w:t>
            </w:r>
          </w:p>
        </w:tc>
        <w:tc>
          <w:tcPr>
            <w:tcW w:type="dxa" w:w="10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131.895</w:t>
            </w:r>
          </w:p>
        </w:tc>
      </w:tr>
      <w:tr>
        <w:tc>
          <w:tcPr>
            <w:tcW w:type="dxa" w:w="17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毛利润</w:t>
            </w:r>
          </w:p>
        </w:tc>
        <w:tc>
          <w:tcPr>
            <w:tcW w:type="dxa" w:w="145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65.991</w:t>
            </w:r>
          </w:p>
        </w:tc>
        <w:tc>
          <w:tcPr>
            <w:tcW w:type="dxa" w:w="145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41.679</w:t>
            </w:r>
          </w:p>
        </w:tc>
        <w:tc>
          <w:tcPr>
            <w:tcW w:type="dxa" w:w="125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+58.3%</w:t>
            </w:r>
          </w:p>
        </w:tc>
        <w:tc>
          <w:tcPr>
            <w:tcW w:type="dxa" w:w="145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11.983</w:t>
            </w:r>
          </w:p>
        </w:tc>
        <w:tc>
          <w:tcPr>
            <w:tcW w:type="dxa" w:w="125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+450.6%</w:t>
            </w:r>
          </w:p>
        </w:tc>
        <w:tc>
          <w:tcPr>
            <w:tcW w:type="dxa" w:w="105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107.671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营业利润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60.543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37.610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+61.0%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9.213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+557.2%</w:t>
            </w:r>
          </w:p>
        </w:tc>
        <w:tc>
          <w:tcPr>
            <w:tcW w:type="dxa" w:w="10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98.153</w:t>
            </w:r>
          </w:p>
        </w:tc>
      </w:tr>
      <w:tr>
        <w:tc>
          <w:tcPr>
            <w:tcW w:type="dxa" w:w="17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净利润</w:t>
            </w:r>
          </w:p>
        </w:tc>
        <w:tc>
          <w:tcPr>
            <w:tcW w:type="dxa" w:w="145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93.923</w:t>
            </w:r>
          </w:p>
        </w:tc>
        <w:tc>
          <w:tcPr>
            <w:tcW w:type="dxa" w:w="145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40.346</w:t>
            </w:r>
          </w:p>
        </w:tc>
        <w:tc>
          <w:tcPr>
            <w:tcW w:type="dxa" w:w="125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+132.8%</w:t>
            </w:r>
          </w:p>
        </w:tc>
        <w:tc>
          <w:tcPr>
            <w:tcW w:type="dxa" w:w="145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6.996</w:t>
            </w:r>
          </w:p>
        </w:tc>
        <w:tc>
          <w:tcPr>
            <w:tcW w:type="dxa" w:w="125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+1,242.5%</w:t>
            </w:r>
          </w:p>
        </w:tc>
        <w:tc>
          <w:tcPr>
            <w:tcW w:type="dxa" w:w="105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134.269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毛利率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83.2%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79.3%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+3.9pct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53.9%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+29.3pct</w:t>
            </w:r>
          </w:p>
        </w:tc>
        <w:tc>
          <w:tcPr>
            <w:tcW w:type="dxa" w:w="10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81.6%</w:t>
            </w:r>
          </w:p>
        </w:tc>
      </w:tr>
      <w:tr>
        <w:tc>
          <w:tcPr>
            <w:tcW w:type="dxa" w:w="17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营业利润率</w:t>
            </w:r>
          </w:p>
        </w:tc>
        <w:tc>
          <w:tcPr>
            <w:tcW w:type="dxa" w:w="145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76.3%</w:t>
            </w:r>
          </w:p>
        </w:tc>
        <w:tc>
          <w:tcPr>
            <w:tcW w:type="dxa" w:w="145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71.5%</w:t>
            </w:r>
          </w:p>
        </w:tc>
        <w:tc>
          <w:tcPr>
            <w:tcW w:type="dxa" w:w="125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+4.8pct</w:t>
            </w:r>
          </w:p>
        </w:tc>
        <w:tc>
          <w:tcPr>
            <w:tcW w:type="dxa" w:w="145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41.4%</w:t>
            </w:r>
          </w:p>
        </w:tc>
        <w:tc>
          <w:tcPr>
            <w:tcW w:type="dxa" w:w="125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+34.9pct</w:t>
            </w:r>
          </w:p>
        </w:tc>
        <w:tc>
          <w:tcPr>
            <w:tcW w:type="dxa" w:w="105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74.4%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净利率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118.4%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76.7%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+41.7pct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31.5%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+86.9pct</w:t>
            </w:r>
          </w:p>
        </w:tc>
        <w:tc>
          <w:tcPr>
            <w:tcW w:type="dxa" w:w="10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101.8%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Microsoft YaHei" w:hAnsi="Arial"/>
          <w:color w:val="6F8796"/>
          <w:sz w:val="18"/>
          <w:szCs w:val="18"/>
        </w:rPr>
        <w:t xml:space="preserve">表1：核心业绩。单季与累计分开；利润率及变动按未四舍五入金额计算。资料来源：S2、S3。</w:t>
      </w:r>
    </w:p>
    <w:p>
      <w:pPr>
        <w:spacing w:after="140" w:line="300"/>
        <w:ind w:firstLine="431"/>
      </w:pPr>
      <w:r>
        <w:rPr>
          <w:rFonts w:ascii="Arial" w:cs="Arial" w:eastAsia="Microsoft YaHei" w:hAnsi="Arial"/>
          <w:sz w:val="21"/>
          <w:szCs w:val="21"/>
        </w:rPr>
        <w:t xml:space="preserve">核心结论有三点。第一，经营改善是真实的：收入、营业利润和营业利润率均创纪录，价格上升是最主要驱动，出货量与高价值产品组合提供增量。第二，净利润与主营经营之间隔着大额非经营收益，分析持续盈利能力应优先看营业利润、毛利率和现金流。第三，收入与营业利润均低于财报公布前一致预期，说明“创纪录”与“低于预期”可以同时成立。</w:t>
      </w:r>
    </w:p>
    <w:p>
      <w:pPr>
        <w:pStyle w:val="Heading1"/>
        <w:spacing w:after="160" w:before="300"/>
      </w:pPr>
      <w:r>
        <w:rPr>
          <w:rFonts w:ascii="Arial" w:cs="Arial" w:eastAsia="Microsoft YaHei" w:hAnsi="Arial"/>
          <w:b/>
          <w:bCs/>
          <w:color w:val="20364A"/>
          <w:sz w:val="30"/>
          <w:szCs w:val="30"/>
        </w:rPr>
        <w:t xml:space="preserve">二、收入与利润率：价格为主，出货量与产品组合为辅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15B7D"/>
          <w:sz w:val="25"/>
          <w:szCs w:val="25"/>
        </w:rPr>
        <w:t xml:space="preserve">2.1 DRAM与NAND均呈现“量价齐升”，价格弹性更大</w:t>
      </w:r>
    </w:p>
    <w:p>
      <w:pPr>
        <w:spacing w:after="140" w:line="300"/>
        <w:ind w:firstLine="431"/>
      </w:pPr>
      <w:r>
        <w:rPr>
          <w:rFonts w:ascii="Arial" w:cs="Arial" w:eastAsia="Microsoft YaHei" w:hAnsi="Arial"/>
          <w:sz w:val="21"/>
          <w:szCs w:val="21"/>
        </w:rPr>
        <w:t xml:space="preserve">DRAM出货量环比高个位数增长，平均售价上涨约30%；HBM3E、AI服务器DRAM以及包括SOCAMM2在内的服务器LPDDR销售扩大。NAND出货量环比中十几位数增长，平均售价上涨中50%区间；企业级SSD收入环比约翻倍，Solidigm的30TB及以上高容量企业级SSD收入环比超过三倍。</w:t>
      </w:r>
      <w:r>
        <w:rPr>
          <w:rStyle w:val="FootnoteReference"/>
        </w:rPr>
        <w:footnoteReference w:id="3"/>
      </w:r>
      <w:r>
        <w:rPr>
          <w:rFonts w:ascii="Arial" w:cs="Arial" w:eastAsia="Microsoft YaHei" w:hAnsi="Arial"/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2200"/>
        <w:gridCol w:w="3900"/>
      </w:tblGrid>
      <w:tr>
        <w:trPr>
          <w:tblHeader/>
        </w:trPr>
        <w:tc>
          <w:tcPr>
            <w:tcW w:type="dxa" w:w="1600"/>
            <w:shd w:fill="2036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业务</w:t>
            </w:r>
          </w:p>
        </w:tc>
        <w:tc>
          <w:tcPr>
            <w:tcW w:type="dxa" w:w="1900"/>
            <w:shd w:fill="2036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出货量（环比）</w:t>
            </w:r>
          </w:p>
        </w:tc>
        <w:tc>
          <w:tcPr>
            <w:tcW w:type="dxa" w:w="2200"/>
            <w:shd w:fill="2036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价格（环比）</w:t>
            </w:r>
          </w:p>
        </w:tc>
        <w:tc>
          <w:tcPr>
            <w:tcW w:type="dxa" w:w="3900"/>
            <w:shd w:fill="2036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经营解读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DRAM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高个位数增长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约+30%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通用DRAM价格强势；HBM3E与AI服务器产品放量</w:t>
            </w:r>
          </w:p>
        </w:tc>
      </w:tr>
      <w:tr>
        <w:tc>
          <w:tcPr>
            <w:tcW w:type="dxa" w:w="16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NAND</w:t>
            </w:r>
          </w:p>
        </w:tc>
        <w:tc>
          <w:tcPr>
            <w:tcW w:type="dxa" w:w="19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中十几位数增长</w:t>
            </w:r>
          </w:p>
        </w:tc>
        <w:tc>
          <w:tcPr>
            <w:tcW w:type="dxa" w:w="22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中50%区间增长</w:t>
            </w:r>
          </w:p>
        </w:tc>
        <w:tc>
          <w:tcPr>
            <w:tcW w:type="dxa" w:w="39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Q1低基数、eSSD扩张与全产品涨价共同作用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企业级SSD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收入约2倍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未单独披露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AI数据中心存储需求向NAND延伸</w:t>
            </w:r>
          </w:p>
        </w:tc>
      </w:tr>
      <w:tr>
        <w:tc>
          <w:tcPr>
            <w:tcW w:type="dxa" w:w="16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Solidigm高容量eSSD</w:t>
            </w:r>
          </w:p>
        </w:tc>
        <w:tc>
          <w:tcPr>
            <w:tcW w:type="dxa" w:w="19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收入超过3倍</w:t>
            </w:r>
          </w:p>
        </w:tc>
        <w:tc>
          <w:tcPr>
            <w:tcW w:type="dxa" w:w="22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未单独披露</w:t>
            </w:r>
          </w:p>
        </w:tc>
        <w:tc>
          <w:tcPr>
            <w:tcW w:type="dxa" w:w="39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30TB及以上产品增长突出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Microsoft YaHei" w:hAnsi="Arial"/>
          <w:color w:val="6F8796"/>
          <w:sz w:val="18"/>
          <w:szCs w:val="18"/>
        </w:rPr>
        <w:t xml:space="preserve">表2：经营驱动。资料来源：S2、S4。</w:t>
      </w:r>
    </w:p>
    <w:p>
      <w:pPr>
        <w:spacing w:after="140" w:line="300"/>
        <w:ind w:firstLine="431"/>
      </w:pPr>
      <w:r>
        <w:rPr>
          <w:rFonts w:ascii="Arial" w:cs="Arial" w:eastAsia="Microsoft YaHei" w:hAnsi="Arial"/>
          <w:sz w:val="21"/>
          <w:szCs w:val="21"/>
        </w:rPr>
        <w:t xml:space="preserve">因此，收入环比增长50.9%不能简单解释为单纯扩产或单纯出货量增长。价格上升覆盖DRAM与NAND，且涨幅显著高于出货量增速；产品组合则向HBM、服务器DRAM和高容量eSSD倾斜。公司的收入结构仍受存储价格周期影响，只是本轮AI基础设施需求使高价值产品与普通存储产品同时受益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15B7D"/>
          <w:sz w:val="25"/>
          <w:szCs w:val="25"/>
        </w:rPr>
        <w:t xml:space="preserve">2.2 成本增速低于收入，形成明显经营杠杆</w:t>
      </w:r>
    </w:p>
    <w:p>
      <w:pPr>
        <w:spacing w:after="140" w:line="300"/>
        <w:ind w:firstLine="431"/>
      </w:pPr>
      <w:r>
        <w:rPr>
          <w:rFonts w:ascii="Arial" w:cs="Arial" w:eastAsia="Microsoft YaHei" w:hAnsi="Arial"/>
          <w:sz w:val="21"/>
          <w:szCs w:val="21"/>
        </w:rPr>
        <w:t xml:space="preserve">第二季度营业成本为13.327万亿韩元，环比约增22.2%，显著低于收入50.9%的增速；毛利润因此环比增长58.3%，毛利率由79.3%升至83.2%。销售及管理费用为5.449万亿韩元，环比约增33.9%，同样低于收入增速，营业利润率由71.5%升至76.3%。公司将利润改善归因于DRAM和NAND涨价以及成本结构改善。</w:t>
      </w:r>
      <w:r>
        <w:rPr>
          <w:rStyle w:val="FootnoteReference"/>
        </w:rPr>
        <w:footnoteReference w:id="4"/>
      </w:r>
      <w:r>
        <w:rPr>
          <w:rFonts w:ascii="Arial" w:cs="Arial" w:eastAsia="Microsoft YaHei" w:hAnsi="Arial"/>
          <w:sz w:val="21"/>
          <w:szCs w:val="21"/>
        </w:rPr>
        <w:t xml:space="preserve"/>
      </w:r>
    </w:p>
    <w:p>
      <w:pPr>
        <w:spacing w:after="140" w:line="300"/>
        <w:ind w:firstLine="431"/>
      </w:pPr>
      <w:r>
        <w:rPr>
          <w:rFonts w:ascii="Arial" w:cs="Arial" w:eastAsia="Microsoft YaHei" w:hAnsi="Arial"/>
          <w:sz w:val="21"/>
          <w:szCs w:val="21"/>
        </w:rPr>
        <w:t xml:space="preserve">不过，业绩会也披露了组合与时机问题：部分高价值产品出货推迟至下半年，HBM与通用DRAM之间的销售组合变化影响混合ASP。管理层预计，随着HBM4与1c纳米通用DRAM在下半年放量，出货和产品组合将改善。这支持“收入确认推迟”的解释，但不能消除量产爬坡的执行风险。</w:t>
      </w:r>
      <w:r>
        <w:rPr>
          <w:rStyle w:val="FootnoteReference"/>
        </w:rPr>
        <w:footnoteReference w:id="5"/>
      </w:r>
      <w:r>
        <w:rPr>
          <w:rFonts w:ascii="Arial" w:cs="Arial" w:eastAsia="Microsoft YaHei" w:hAnsi="Arial"/>
          <w:sz w:val="21"/>
          <w:szCs w:val="21"/>
        </w:rPr>
        <w:t xml:space="preserve"/>
      </w:r>
    </w:p>
    <w:p>
      <w:pPr>
        <w:spacing w:after="140" w:line="300"/>
        <w:jc w:val="center"/>
      </w:pPr>
      <w:r>
        <w:drawing>
          <wp:inline distT="0" distB="0" distL="0" distR="0">
            <wp:extent cx="59055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Microsoft YaHei" w:hAnsi="Arial"/>
          <w:color w:val="6F8796"/>
          <w:sz w:val="18"/>
          <w:szCs w:val="18"/>
        </w:rPr>
        <w:t xml:space="preserve">图1：季度收入与利润对比。净利润为报告值，含非经营收益。资料来源：S2、S3。</w:t>
      </w:r>
    </w:p>
    <w:p>
      <w:pPr>
        <w:pStyle w:val="Heading1"/>
        <w:spacing w:after="160" w:before="300"/>
      </w:pPr>
      <w:r>
        <w:rPr>
          <w:rFonts w:ascii="Arial" w:cs="Arial" w:eastAsia="Microsoft YaHei" w:hAnsi="Arial"/>
          <w:b/>
          <w:bCs/>
          <w:color w:val="20364A"/>
          <w:sz w:val="30"/>
          <w:szCs w:val="30"/>
        </w:rPr>
        <w:t xml:space="preserve">三、净利润拆解：经营改善与非经营收益必须分开</w:t>
      </w:r>
    </w:p>
    <w:p>
      <w:pPr>
        <w:spacing w:after="140" w:line="300"/>
        <w:ind w:firstLine="431"/>
      </w:pPr>
      <w:r>
        <w:rPr>
          <w:rFonts w:ascii="Arial" w:cs="Arial" w:eastAsia="Microsoft YaHei" w:hAnsi="Arial"/>
          <w:sz w:val="21"/>
          <w:szCs w:val="21"/>
        </w:rPr>
        <w:t xml:space="preserve">第二季度净金融收益为62.218万亿韩元，其中金融工具估值收益53.237万亿韩元、股利收入10.028万亿韩元，合计63.265万亿韩元，与业绩演示披露的约63.27万亿韩元投资资产相关收益一致。另有净汇兑收益1.147万亿韩元。税前利润122.708万亿韩元，所得税28.786万亿韩元，净利润93.923万亿韩元。</w:t>
      </w:r>
      <w:r>
        <w:rPr>
          <w:rStyle w:val="FootnoteReference"/>
        </w:rPr>
        <w:footnoteReference w:id="6"/>
      </w:r>
      <w:r>
        <w:rPr>
          <w:rFonts w:ascii="Arial" w:cs="Arial" w:eastAsia="Microsoft YaHei" w:hAnsi="Arial"/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000"/>
      </w:tblGrid>
      <w:tr>
        <w:trPr>
          <w:tblHeader/>
        </w:trPr>
        <w:tc>
          <w:tcPr>
            <w:tcW w:type="dxa" w:w="2800"/>
            <w:shd w:fill="2036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1800"/>
            <w:shd w:fill="2036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金额</w:t>
            </w:r>
          </w:p>
        </w:tc>
        <w:tc>
          <w:tcPr>
            <w:tcW w:type="dxa" w:w="5000"/>
            <w:shd w:fill="2036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性质与判断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营业利润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60.543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主营经营结果，可持续性的主要观察锚</w:t>
            </w:r>
          </w:p>
        </w:tc>
      </w:tr>
      <w:tr>
        <w:tc>
          <w:tcPr>
            <w:tcW w:type="dxa" w:w="28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金融工具估值收益</w:t>
            </w:r>
          </w:p>
        </w:tc>
        <w:tc>
          <w:tcPr>
            <w:tcW w:type="dxa" w:w="18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53.237</w:t>
            </w:r>
          </w:p>
        </w:tc>
        <w:tc>
          <w:tcPr>
            <w:tcW w:type="dxa" w:w="50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非经营、波动性高，可能含非现金估值收益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股利收入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10.028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非经营；与估值收益合计约63.27</w:t>
            </w:r>
          </w:p>
        </w:tc>
      </w:tr>
      <w:tr>
        <w:tc>
          <w:tcPr>
            <w:tcW w:type="dxa" w:w="28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净汇兑收益</w:t>
            </w:r>
          </w:p>
        </w:tc>
        <w:tc>
          <w:tcPr>
            <w:tcW w:type="dxa" w:w="18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1.147</w:t>
            </w:r>
          </w:p>
        </w:tc>
        <w:tc>
          <w:tcPr>
            <w:tcW w:type="dxa" w:w="50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汇率驱动，不属产品经营改善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联营企业及其他净额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-0.052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税前利润与上述项目之间的净额</w:t>
            </w:r>
          </w:p>
        </w:tc>
      </w:tr>
      <w:tr>
        <w:tc>
          <w:tcPr>
            <w:tcW w:type="dxa" w:w="28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税前利润／所得税</w:t>
            </w:r>
          </w:p>
        </w:tc>
        <w:tc>
          <w:tcPr>
            <w:tcW w:type="dxa" w:w="18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122.708／28.786</w:t>
            </w:r>
          </w:p>
        </w:tc>
        <w:tc>
          <w:tcPr>
            <w:tcW w:type="dxa" w:w="50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非经营收益亦影响税负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净利润／净利率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93.923／118.4%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净利润高于收入，不能视为主营经营利润率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Microsoft YaHei" w:hAnsi="Arial"/>
          <w:color w:val="6F8796"/>
          <w:sz w:val="18"/>
          <w:szCs w:val="18"/>
        </w:rPr>
        <w:t xml:space="preserve">表3：2026Q2经营结果与非经营因素桥接，单位：万亿韩元。资料来源：S2、S3。</w:t>
      </w:r>
    </w:p>
    <w:p>
      <w:pPr>
        <w:spacing w:after="140" w:line="300"/>
        <w:ind w:firstLine="431"/>
      </w:pPr>
      <w:r>
        <w:rPr>
          <w:rFonts w:ascii="Arial" w:cs="Arial" w:eastAsia="Microsoft YaHei" w:hAnsi="Arial"/>
          <w:sz w:val="21"/>
          <w:szCs w:val="21"/>
        </w:rPr>
        <w:t xml:space="preserve">公司在业绩材料中没有点名产生上述投资资产收益的具体资产。Reuters报道引述分析师估计，这些收益与完成Kioxia股权出售后确认累计投资收益有关；这是外部分析师归因，不是公司在业绩材料中的明示，本文据此仅作背景说明。</w:t>
      </w:r>
      <w:r>
        <w:rPr>
          <w:rStyle w:val="FootnoteReference"/>
        </w:rPr>
        <w:footnoteReference w:id="7"/>
      </w:r>
      <w:r>
        <w:rPr>
          <w:rFonts w:ascii="Arial" w:cs="Arial" w:eastAsia="Microsoft YaHei" w:hAnsi="Arial"/>
          <w:sz w:val="21"/>
          <w:szCs w:val="21"/>
        </w:rPr>
        <w:t xml:space="preserve"/>
      </w:r>
    </w:p>
    <w:p>
      <w:pPr>
        <w:spacing w:after="140" w:line="300"/>
        <w:ind w:firstLine="431"/>
      </w:pPr>
      <w:r>
        <w:rPr>
          <w:rFonts w:ascii="Arial" w:cs="Arial" w:eastAsia="Microsoft YaHei" w:hAnsi="Arial"/>
          <w:sz w:val="21"/>
          <w:szCs w:val="21"/>
        </w:rPr>
        <w:t xml:space="preserve">本文不提供“调整后净利润”。原因是投资资产收益为税前口径，相关税负、估值收益的非现金部分以及潜在可持续性没有完整拆分，直接从净利润中扣除63.27万亿韩元会制造虚假精确。更稳妥的做法是分别观察营业利润、税前非经营收益、现金流和实际税项。</w:t>
      </w:r>
    </w:p>
    <w:p>
      <w:pPr>
        <w:pStyle w:val="Heading1"/>
        <w:spacing w:after="160" w:before="300"/>
      </w:pPr>
      <w:r>
        <w:rPr>
          <w:rFonts w:ascii="Arial" w:cs="Arial" w:eastAsia="Microsoft YaHei" w:hAnsi="Arial"/>
          <w:b/>
          <w:bCs/>
          <w:color w:val="20364A"/>
          <w:sz w:val="30"/>
          <w:szCs w:val="30"/>
        </w:rPr>
        <w:t xml:space="preserve">四、现金流：跟得上，但并非全部来自芯片经营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15B7D"/>
          <w:sz w:val="25"/>
          <w:szCs w:val="25"/>
        </w:rPr>
        <w:t xml:space="preserve">4.1 单季度：经营现金流覆盖资本开支，现金转化较强</w:t>
      </w:r>
    </w:p>
    <w:p>
      <w:pPr>
        <w:spacing w:after="140" w:line="300"/>
        <w:ind w:firstLine="431"/>
      </w:pPr>
      <w:r>
        <w:rPr>
          <w:rFonts w:ascii="Arial" w:cs="Arial" w:eastAsia="Microsoft YaHei" w:hAnsi="Arial"/>
          <w:sz w:val="21"/>
          <w:szCs w:val="21"/>
        </w:rPr>
        <w:t xml:space="preserve">初步业绩演示显示，2026Q2经营活动现金流65.710万亿韩元，购建固定资产现金支出10.671万亿韩元；以“经营现金流－购建固定资产”计算的自由现金流代理值为55.039万亿韩元。经营现金流相当于营业利润的108.5%，表明账面营业利润已有较强现金支撑。</w:t>
      </w:r>
      <w:r>
        <w:rPr>
          <w:rStyle w:val="FootnoteReference"/>
        </w:rPr>
        <w:footnoteReference w:id="8"/>
      </w:r>
      <w:r>
        <w:rPr>
          <w:rFonts w:ascii="Arial" w:cs="Arial" w:eastAsia="Microsoft YaHei" w:hAnsi="Arial"/>
          <w:sz w:val="21"/>
          <w:szCs w:val="21"/>
        </w:rPr>
        <w:t xml:space="preserve"/>
      </w:r>
    </w:p>
    <w:p>
      <w:pPr>
        <w:spacing w:after="140" w:line="300"/>
        <w:ind w:firstLine="431"/>
      </w:pPr>
      <w:r>
        <w:rPr>
          <w:rFonts w:ascii="Arial" w:cs="Arial" w:eastAsia="Microsoft YaHei" w:hAnsi="Arial"/>
          <w:sz w:val="21"/>
          <w:szCs w:val="21"/>
        </w:rPr>
        <w:t xml:space="preserve">同期营运资本及其他调整为净流出32.243万亿韩元。期末应收账款由一季度末约33.808万亿韩元增至47.821万亿韩元，增加14.014万亿韩元；存货由约15.974万亿韩元增至17.986万亿韩元。应收账款增加与销售放量一致，但后续仍需观察回款是否持续跟上收入。</w:t>
      </w:r>
      <w:r>
        <w:rPr>
          <w:rStyle w:val="FootnoteReference"/>
        </w:rPr>
        <w:footnoteReference w:id="9"/>
      </w:r>
      <w:r>
        <w:rPr>
          <w:rFonts w:ascii="Arial" w:cs="Arial" w:eastAsia="Microsoft YaHei" w:hAnsi="Arial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15B7D"/>
          <w:sz w:val="25"/>
          <w:szCs w:val="25"/>
        </w:rPr>
        <w:t xml:space="preserve">4.2 上半年：现金流大幅增长，但收到股利是重要组成</w:t>
      </w:r>
    </w:p>
    <w:p>
      <w:pPr>
        <w:spacing w:after="140" w:line="300"/>
        <w:ind w:firstLine="431"/>
      </w:pPr>
      <w:r>
        <w:rPr>
          <w:rFonts w:ascii="Arial" w:cs="Arial" w:eastAsia="Microsoft YaHei" w:hAnsi="Arial"/>
          <w:sz w:val="21"/>
          <w:szCs w:val="21"/>
        </w:rPr>
        <w:t xml:space="preserve">半年度业务报告显示，2026H1经营活动现金流91.743万亿韩元，远高于上年同期18.190万亿韩元；购建固定资产支出18.329万亿韩元，自由现金流代理值73.414万亿韩元，上年同期为7.574万亿韩元。上半年经营现金流包含13.984万亿韩元收到股利；剔除该项后的分析口径经营现金流为77.759万亿韩元，自由现金流代理值为59.430万亿韩元。</w:t>
      </w:r>
      <w:r>
        <w:rPr>
          <w:rStyle w:val="FootnoteReference"/>
        </w:rPr>
        <w:footnoteReference w:id="10"/>
      </w:r>
      <w:r>
        <w:rPr>
          <w:rFonts w:ascii="Arial" w:cs="Arial" w:eastAsia="Microsoft YaHei" w:hAnsi="Arial"/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4000"/>
      </w:tblGrid>
      <w:tr>
        <w:trPr>
          <w:tblHeader/>
        </w:trPr>
        <w:tc>
          <w:tcPr>
            <w:tcW w:type="dxa" w:w="2600"/>
            <w:shd w:fill="2036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现金流指标</w:t>
            </w:r>
          </w:p>
        </w:tc>
        <w:tc>
          <w:tcPr>
            <w:tcW w:type="dxa" w:w="1500"/>
            <w:shd w:fill="2036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2026Q2</w:t>
            </w:r>
          </w:p>
        </w:tc>
        <w:tc>
          <w:tcPr>
            <w:tcW w:type="dxa" w:w="1500"/>
            <w:shd w:fill="2036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2026H1</w:t>
            </w:r>
          </w:p>
        </w:tc>
        <w:tc>
          <w:tcPr>
            <w:tcW w:type="dxa" w:w="4000"/>
            <w:shd w:fill="2036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口径说明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经营活动现金流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65.710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91.743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Q2为初步业绩演示；H1为6-K报告</w:t>
            </w:r>
          </w:p>
        </w:tc>
      </w:tr>
      <w:tr>
        <w:tc>
          <w:tcPr>
            <w:tcW w:type="dxa" w:w="26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购建固定资产</w:t>
            </w:r>
          </w:p>
        </w:tc>
        <w:tc>
          <w:tcPr>
            <w:tcW w:type="dxa" w:w="15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10.671</w:t>
            </w:r>
          </w:p>
        </w:tc>
        <w:tc>
          <w:tcPr>
            <w:tcW w:type="dxa" w:w="15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18.329</w:t>
            </w:r>
          </w:p>
        </w:tc>
        <w:tc>
          <w:tcPr>
            <w:tcW w:type="dxa" w:w="40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现金支出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自由现金流代理值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55.039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73.414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经营现金流－购建固定资产，非公司法定指标</w:t>
            </w:r>
          </w:p>
        </w:tc>
      </w:tr>
      <w:tr>
        <w:tc>
          <w:tcPr>
            <w:tcW w:type="dxa" w:w="26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收到股利</w:t>
            </w:r>
          </w:p>
        </w:tc>
        <w:tc>
          <w:tcPr>
            <w:tcW w:type="dxa" w:w="15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未单列</w:t>
            </w:r>
          </w:p>
        </w:tc>
        <w:tc>
          <w:tcPr>
            <w:tcW w:type="dxa" w:w="15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13.984</w:t>
            </w:r>
          </w:p>
        </w:tc>
        <w:tc>
          <w:tcPr>
            <w:tcW w:type="dxa" w:w="40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H1经营现金流的重要组成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剔除股利后自由现金流代理值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不计算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59.430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分析口径，避免把投资回款全部当作芯片经营现金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Microsoft YaHei" w:hAnsi="Arial"/>
          <w:color w:val="6F8796"/>
          <w:sz w:val="18"/>
          <w:szCs w:val="18"/>
        </w:rPr>
        <w:t xml:space="preserve">表4：现金流与资本开支，单位：万亿韩元。资料来源：S2、S3。</w:t>
      </w:r>
    </w:p>
    <w:p>
      <w:pPr>
        <w:spacing w:after="140" w:line="300"/>
        <w:ind w:firstLine="431"/>
      </w:pPr>
      <w:r>
        <w:rPr>
          <w:rFonts w:ascii="Arial" w:cs="Arial" w:eastAsia="Microsoft YaHei" w:hAnsi="Arial"/>
          <w:sz w:val="21"/>
          <w:szCs w:val="21"/>
        </w:rPr>
        <w:t xml:space="preserve">截至2026年6月30日，公司定义的广义现金为87.958万亿韩元，有息负债18.587万亿韩元，净现金69.371万亿韩元。广义现金包括现金及现金等价物、短期金融工具和短期投资，并不等同于银行活期现金。</w:t>
      </w:r>
      <w:r>
        <w:rPr>
          <w:rStyle w:val="FootnoteReference"/>
        </w:rPr>
        <w:footnoteReference w:id="11"/>
      </w:r>
      <w:r>
        <w:rPr>
          <w:rFonts w:ascii="Arial" w:cs="Arial" w:eastAsia="Microsoft YaHei" w:hAnsi="Arial"/>
          <w:sz w:val="21"/>
          <w:szCs w:val="21"/>
        </w:rPr>
        <w:t xml:space="preserve"/>
      </w:r>
    </w:p>
    <w:p>
      <w:pPr>
        <w:spacing w:after="140" w:line="300"/>
        <w:ind w:firstLine="431"/>
      </w:pPr>
      <w:r>
        <w:rPr>
          <w:rFonts w:ascii="Arial" w:cs="Arial" w:eastAsia="Microsoft YaHei" w:hAnsi="Arial"/>
          <w:sz w:val="21"/>
          <w:szCs w:val="21"/>
        </w:rPr>
        <w:t xml:space="preserve">总体判断是“现金流跟得上，但结构需拆开看”：芯片主营的高利润已转化为可观现金，同时投资相关股利也抬升经营现金流。更重要的是，6月30日现金头寸早于7月ADR发行和8月回购决定，不能把它当成10月26日的实时可分配现金。</w:t>
      </w:r>
    </w:p>
    <w:p>
      <w:pPr>
        <w:pStyle w:val="Heading1"/>
        <w:spacing w:after="160" w:before="300"/>
      </w:pPr>
      <w:r>
        <w:rPr>
          <w:rFonts w:ascii="Arial" w:cs="Arial" w:eastAsia="Microsoft YaHei" w:hAnsi="Arial"/>
          <w:b/>
          <w:bCs/>
          <w:color w:val="20364A"/>
          <w:sz w:val="30"/>
          <w:szCs w:val="30"/>
        </w:rPr>
        <w:t xml:space="preserve">五、与财报公布前预期比较</w:t>
      </w:r>
    </w:p>
    <w:p>
      <w:pPr>
        <w:spacing w:after="140" w:line="300"/>
        <w:ind w:firstLine="431"/>
      </w:pPr>
      <w:r>
        <w:rPr>
          <w:rFonts w:ascii="Arial" w:cs="Arial" w:eastAsia="Microsoft YaHei" w:hAnsi="Arial"/>
          <w:sz w:val="21"/>
          <w:szCs w:val="21"/>
        </w:rPr>
        <w:t xml:space="preserve">Reuters在业绩发布报道中列示的LSEG SmartEstimate为：收入84万亿韩元、营业利润64万亿韩元。该数值是财报公布前形成的一致预期，不是财报发布后分析师对业绩的回顾性预测。</w:t>
      </w:r>
      <w:r>
        <w:rPr>
          <w:rStyle w:val="FootnoteReference"/>
        </w:rPr>
        <w:footnoteReference w:id="12"/>
      </w:r>
      <w:r>
        <w:rPr>
          <w:rFonts w:ascii="Arial" w:cs="Arial" w:eastAsia="Microsoft YaHei" w:hAnsi="Arial"/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2000"/>
      </w:tblGrid>
      <w:tr>
        <w:trPr>
          <w:tblHeader/>
        </w:trPr>
        <w:tc>
          <w:tcPr>
            <w:tcW w:type="dxa" w:w="2200"/>
            <w:shd w:fill="2036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1800"/>
            <w:shd w:fill="2036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实际值</w:t>
            </w:r>
          </w:p>
        </w:tc>
        <w:tc>
          <w:tcPr>
            <w:tcW w:type="dxa" w:w="1800"/>
            <w:shd w:fill="2036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事前预期</w:t>
            </w:r>
          </w:p>
        </w:tc>
        <w:tc>
          <w:tcPr>
            <w:tcW w:type="dxa" w:w="1800"/>
            <w:shd w:fill="2036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差额</w:t>
            </w:r>
          </w:p>
        </w:tc>
        <w:tc>
          <w:tcPr>
            <w:tcW w:type="dxa" w:w="2000"/>
            <w:shd w:fill="2036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偏离幅度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营业收入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79.319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84.000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-4.681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-5.6%</w:t>
            </w:r>
          </w:p>
        </w:tc>
      </w:tr>
      <w:tr>
        <w:tc>
          <w:tcPr>
            <w:tcW w:type="dxa" w:w="22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营业利润</w:t>
            </w:r>
          </w:p>
        </w:tc>
        <w:tc>
          <w:tcPr>
            <w:tcW w:type="dxa" w:w="18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60.543</w:t>
            </w:r>
          </w:p>
        </w:tc>
        <w:tc>
          <w:tcPr>
            <w:tcW w:type="dxa" w:w="18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64.000</w:t>
            </w:r>
          </w:p>
        </w:tc>
        <w:tc>
          <w:tcPr>
            <w:tcW w:type="dxa" w:w="18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-3.457</w:t>
            </w:r>
          </w:p>
        </w:tc>
        <w:tc>
          <w:tcPr>
            <w:tcW w:type="dxa" w:w="20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-5.4%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Microsoft YaHei" w:hAnsi="Arial"/>
          <w:color w:val="6F8796"/>
          <w:sz w:val="18"/>
          <w:szCs w:val="18"/>
        </w:rPr>
        <w:t xml:space="preserve">表5：2026Q2实际业绩与LSEG SmartEstimate，单位：万亿韩元。资料来源：S5；S8交叉核验。</w:t>
      </w:r>
    </w:p>
    <w:p>
      <w:pPr>
        <w:spacing w:after="140" w:line="300"/>
        <w:ind w:firstLine="431"/>
      </w:pPr>
      <w:r>
        <w:rPr>
          <w:rFonts w:ascii="Arial" w:cs="Arial" w:eastAsia="Microsoft YaHei" w:hAnsi="Arial"/>
          <w:sz w:val="21"/>
          <w:szCs w:val="21"/>
        </w:rPr>
        <w:t xml:space="preserve">实际值较预期低约5%至6%，与“历史最高”并不矛盾：同比和环比衡量已实现的改善，预期差衡量市场此前计价的门槛。部分高价值产品出货推迟与产品组合变化，是管理层对混合ASP和下半年节奏的直接解释。由于公开预期仅披露到整数位，偏离幅度也是基于该精度计算。</w:t>
      </w:r>
    </w:p>
    <w:p>
      <w:pPr>
        <w:spacing w:after="140" w:line="300"/>
        <w:ind w:firstLine="431"/>
      </w:pPr>
      <w:r>
        <w:rPr>
          <w:rFonts w:ascii="Arial" w:cs="Arial" w:eastAsia="Microsoft YaHei" w:hAnsi="Arial"/>
          <w:sz w:val="21"/>
          <w:szCs w:val="21"/>
        </w:rPr>
        <w:t xml:space="preserve">未找到同口径、可靠的财报公布前净利润一致预期，因此不作净利润预期比较，也不使用财报发布后的观点倒填事前预期。</w:t>
      </w:r>
    </w:p>
    <w:p>
      <w:pPr>
        <w:pStyle w:val="Heading1"/>
        <w:spacing w:after="160" w:before="300"/>
      </w:pPr>
      <w:r>
        <w:rPr>
          <w:rFonts w:ascii="Arial" w:cs="Arial" w:eastAsia="Microsoft YaHei" w:hAnsi="Arial"/>
          <w:b/>
          <w:bCs/>
          <w:color w:val="20364A"/>
          <w:sz w:val="30"/>
          <w:szCs w:val="30"/>
        </w:rPr>
        <w:t xml:space="preserve">六、后续展望与二季度后事项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15B7D"/>
          <w:sz w:val="25"/>
          <w:szCs w:val="25"/>
        </w:rPr>
        <w:t xml:space="preserve">6.1 公司在二季度业绩发布时给出的经营方向</w:t>
      </w:r>
    </w:p>
    <w:p>
      <w:pPr>
        <w:spacing w:after="140" w:line="300"/>
        <w:ind w:firstLine="431"/>
      </w:pPr>
      <w:r>
        <w:rPr>
          <w:rFonts w:ascii="Arial" w:cs="Arial" w:eastAsia="Microsoft YaHei" w:hAnsi="Arial"/>
          <w:sz w:val="21"/>
          <w:szCs w:val="21"/>
        </w:rPr>
        <w:t xml:space="preserve">公司指引2026Q3 DRAM出货量环比约增10%，以服务器产品为重点；NAND出货量环比低个位数增长，包含Solidigm。全年行业需求判断为DRAM Bit需求同比中20%区间增长、NAND高十几位数增长。上述均为管理层展望，不是已经实现的业绩。</w:t>
      </w:r>
      <w:r>
        <w:rPr>
          <w:rStyle w:val="FootnoteReference"/>
        </w:rPr>
        <w:footnoteReference w:id="13"/>
      </w:r>
      <w:r>
        <w:rPr>
          <w:rFonts w:ascii="Arial" w:cs="Arial" w:eastAsia="Microsoft YaHei" w:hAnsi="Arial"/>
          <w:sz w:val="21"/>
          <w:szCs w:val="21"/>
        </w:rPr>
        <w:t xml:space="preserve"/>
      </w:r>
    </w:p>
    <w:p>
      <w:pPr>
        <w:spacing w:after="140" w:line="300"/>
        <w:ind w:firstLine="431"/>
      </w:pPr>
      <w:r>
        <w:rPr>
          <w:rFonts w:ascii="Arial" w:cs="Arial" w:eastAsia="Microsoft YaHei" w:hAnsi="Arial"/>
          <w:sz w:val="21"/>
          <w:szCs w:val="21"/>
        </w:rPr>
        <w:t xml:space="preserve">HBM4已于第二季度开始量产出货，计划下半年全面爬坡；HBM4E已在上半年送样，目标2027年开始量产。NAND方面，公司计划到2026年末将321层产品占韩国国内产能的比例提高至约50%。</w:t>
      </w:r>
      <w:r>
        <w:rPr>
          <w:rStyle w:val="FootnoteReference"/>
        </w:rPr>
        <w:footnoteReference w:id="14"/>
      </w:r>
      <w:r>
        <w:rPr>
          <w:rFonts w:ascii="Arial" w:cs="Arial" w:eastAsia="Microsoft YaHei" w:hAnsi="Arial"/>
          <w:sz w:val="21"/>
          <w:szCs w:val="21"/>
        </w:rPr>
        <w:t xml:space="preserve"/>
      </w:r>
    </w:p>
    <w:p>
      <w:pPr>
        <w:spacing w:after="140" w:line="300"/>
        <w:ind w:firstLine="431"/>
      </w:pPr>
      <w:r>
        <w:rPr>
          <w:rFonts w:ascii="Arial" w:cs="Arial" w:eastAsia="Microsoft YaHei" w:hAnsi="Arial"/>
          <w:sz w:val="21"/>
          <w:szCs w:val="21"/>
        </w:rPr>
        <w:t xml:space="preserve">2026年资本开支预计达到40万亿韩元区间偏高端，用于提前M15X量产、推进Yongin Fab1扩产，并分阶段投入先进封装和NAND基地。由于H1购建固定资产现金支出为18.329万亿韩元，完成全年指引意味着下半年投资强度需明显提高。</w:t>
      </w:r>
      <w:r>
        <w:rPr>
          <w:rStyle w:val="FootnoteReference"/>
        </w:rPr>
        <w:footnoteReference w:id="15"/>
      </w:r>
      <w:r>
        <w:rPr>
          <w:rFonts w:ascii="Arial" w:cs="Arial" w:eastAsia="Microsoft YaHei" w:hAnsi="Arial"/>
          <w:sz w:val="21"/>
          <w:szCs w:val="21"/>
        </w:rPr>
        <w:t xml:space="preserve"/>
      </w:r>
    </w:p>
    <w:p>
      <w:pPr>
        <w:spacing w:after="140" w:line="300"/>
        <w:ind w:firstLine="431"/>
      </w:pPr>
      <w:r>
        <w:rPr>
          <w:rFonts w:ascii="Arial" w:cs="Arial" w:eastAsia="Microsoft YaHei" w:hAnsi="Arial"/>
          <w:sz w:val="21"/>
          <w:szCs w:val="21"/>
        </w:rPr>
        <w:t xml:space="preserve">公司已与约10家客户达成长期协议（LTA），通常期限约五年，包含差异化定价机制和押金等履约安排。LTA有助于提高需求可见度，但公司未披露其覆盖总收入的比例，且定价机制也可能限制短期涨价弹性。</w:t>
      </w:r>
      <w:r>
        <w:rPr>
          <w:rStyle w:val="FootnoteReference"/>
        </w:rPr>
        <w:footnoteReference w:id="16"/>
      </w:r>
      <w:r>
        <w:rPr>
          <w:rFonts w:ascii="Arial" w:cs="Arial" w:eastAsia="Microsoft YaHei" w:hAnsi="Arial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15B7D"/>
          <w:sz w:val="25"/>
          <w:szCs w:val="25"/>
        </w:rPr>
        <w:t xml:space="preserve">6.2 截止日前已公告、但不属于二季度业绩的事项</w:t>
      </w:r>
    </w:p>
    <w:p>
      <w:pPr>
        <w:spacing w:after="140" w:line="300"/>
        <w:ind w:firstLine="431"/>
      </w:pPr>
      <w:r>
        <w:rPr>
          <w:rFonts w:ascii="Arial" w:cs="Arial" w:eastAsia="Microsoft YaHei" w:hAnsi="Arial"/>
          <w:sz w:val="21"/>
          <w:szCs w:val="21"/>
        </w:rPr>
        <w:t xml:space="preserve">2026年8月19日，董事会批准40万亿韩元股份回购并全部注销，回购期自8月20日起约三个月；公司同时将2025—2027年累计自由现金流的股东回报目标由“50%以内”调整为“超过50%”。这改变了资本分配预期，但不应回填为第二季度经营成果，也会与扩产共同消耗现金。</w:t>
      </w:r>
      <w:r>
        <w:rPr>
          <w:rStyle w:val="FootnoteReference"/>
        </w:rPr>
        <w:footnoteReference w:id="17"/>
      </w:r>
      <w:r>
        <w:rPr>
          <w:rFonts w:ascii="Arial" w:cs="Arial" w:eastAsia="Microsoft YaHei" w:hAnsi="Arial"/>
          <w:sz w:val="21"/>
          <w:szCs w:val="21"/>
        </w:rPr>
        <w:t xml:space="preserve"/>
      </w:r>
    </w:p>
    <w:p>
      <w:pPr>
        <w:pStyle w:val="Heading1"/>
        <w:spacing w:after="160" w:before="300"/>
      </w:pPr>
      <w:r>
        <w:rPr>
          <w:rFonts w:ascii="Arial" w:cs="Arial" w:eastAsia="Microsoft YaHei" w:hAnsi="Arial"/>
          <w:b/>
          <w:bCs/>
          <w:color w:val="20364A"/>
          <w:sz w:val="30"/>
          <w:szCs w:val="30"/>
        </w:rPr>
        <w:t xml:space="preserve">七、主要风险与跟踪指标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00"/>
        <w:gridCol w:w="3000"/>
      </w:tblGrid>
      <w:tr>
        <w:trPr>
          <w:tblHeader/>
        </w:trPr>
        <w:tc>
          <w:tcPr>
            <w:tcW w:type="dxa" w:w="2300"/>
            <w:shd w:fill="2036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4300"/>
            <w:shd w:fill="2036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为何重要</w:t>
            </w:r>
          </w:p>
        </w:tc>
        <w:tc>
          <w:tcPr>
            <w:tcW w:type="dxa" w:w="3000"/>
            <w:shd w:fill="2036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优先跟踪指标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AI投资与存储价格周期</w:t>
            </w:r>
          </w:p>
        </w:tc>
        <w:tc>
          <w:tcPr>
            <w:tcW w:type="dxa" w:w="4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本轮收入和利润对价格上涨高度敏感；若云厂商投资放缓或供给恢复，经营杠杆可能反向作用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DRAM/NAND ASP、订单与库存、云厂商资本开支</w:t>
            </w:r>
          </w:p>
        </w:tc>
      </w:tr>
      <w:tr>
        <w:tc>
          <w:tcPr>
            <w:tcW w:type="dxa" w:w="23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HBM4量产与竞争</w:t>
            </w:r>
          </w:p>
        </w:tc>
        <w:tc>
          <w:tcPr>
            <w:tcW w:type="dxa" w:w="43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部分高价值产品已出现递延；后续需要在良率、质量和交付上兑现，同时应对竞争者追赶</w:t>
            </w:r>
          </w:p>
        </w:tc>
        <w:tc>
          <w:tcPr>
            <w:tcW w:type="dxa" w:w="30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HBM4出货、良率、客户认证、混合ASP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扩产与自由现金流</w:t>
            </w:r>
          </w:p>
        </w:tc>
        <w:tc>
          <w:tcPr>
            <w:tcW w:type="dxa" w:w="4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资本开支指引提高，若需求判断偏差，可能同时出现折旧上升、价格回落和现金回报下降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H2资本开支、经营现金流、产能爬坡节奏</w:t>
            </w:r>
          </w:p>
        </w:tc>
      </w:tr>
      <w:tr>
        <w:tc>
          <w:tcPr>
            <w:tcW w:type="dxa" w:w="23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LTA双刃剑</w:t>
            </w:r>
          </w:p>
        </w:tc>
        <w:tc>
          <w:tcPr>
            <w:tcW w:type="dxa" w:w="43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长约提升需求可见度，但覆盖比例未披露，定价机制可能限制现货上涨收益</w:t>
            </w:r>
          </w:p>
        </w:tc>
        <w:tc>
          <w:tcPr>
            <w:tcW w:type="dxa" w:w="30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LTA收入覆盖率、定价与履约条款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净利润与现金可比性</w:t>
            </w:r>
          </w:p>
        </w:tc>
        <w:tc>
          <w:tcPr>
            <w:tcW w:type="dxa" w:w="4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投资估值、股利和汇兑收益使净利润与现金流结构复杂，不能简单年化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扣除投资相关项目后的营业利润与现金流</w:t>
            </w:r>
          </w:p>
        </w:tc>
      </w:tr>
      <w:tr>
        <w:tc>
          <w:tcPr>
            <w:tcW w:type="dxa" w:w="23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营运资本与回款</w:t>
            </w:r>
          </w:p>
        </w:tc>
        <w:tc>
          <w:tcPr>
            <w:tcW w:type="dxa" w:w="43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应收账款明显增加，若回款慢于收入增长，将削弱现金转化</w:t>
            </w:r>
          </w:p>
        </w:tc>
        <w:tc>
          <w:tcPr>
            <w:tcW w:type="dxa" w:w="30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应收增速与收入增速、周转天数、坏账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现金分配与余额时点</w:t>
            </w:r>
          </w:p>
        </w:tc>
        <w:tc>
          <w:tcPr>
            <w:tcW w:type="dxa" w:w="4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6月末净现金不是截止日实时余额；回购、扩产和分红共同竞争现金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回购执行、季度末净现金、股利与资本开支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Microsoft YaHei" w:hAnsi="Arial"/>
          <w:color w:val="6F8796"/>
          <w:sz w:val="18"/>
          <w:szCs w:val="18"/>
        </w:rPr>
        <w:t xml:space="preserve">表6：主要风险及验证指标。风险判断基于S2—S5、S7，非公司保证或盈利预测。</w:t>
      </w:r>
    </w:p>
    <w:p>
      <w:pPr>
        <w:pStyle w:val="Heading1"/>
        <w:spacing w:after="160" w:before="300"/>
      </w:pPr>
      <w:r>
        <w:rPr>
          <w:rFonts w:ascii="Arial" w:cs="Arial" w:eastAsia="Microsoft YaHei" w:hAnsi="Arial"/>
          <w:b/>
          <w:bCs/>
          <w:color w:val="20364A"/>
          <w:sz w:val="30"/>
          <w:szCs w:val="30"/>
        </w:rPr>
        <w:t xml:space="preserve">八、口径、来源与限制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15B7D"/>
          <w:sz w:val="25"/>
          <w:szCs w:val="25"/>
        </w:rPr>
        <w:t xml:space="preserve">8.1 统一口径</w:t>
      </w:r>
    </w:p>
    <w:p>
      <w:pPr>
        <w:spacing w:after="140" w:line="300"/>
        <w:ind w:firstLine="431"/>
      </w:pPr>
      <w:r>
        <w:rPr>
          <w:rFonts w:ascii="Arial" w:cs="Arial" w:eastAsia="Microsoft YaHei" w:hAnsi="Arial"/>
          <w:sz w:val="21"/>
          <w:szCs w:val="21"/>
        </w:rPr>
        <w:t xml:space="preserve">金额均为万亿韩元；2026Q2指2026年4月1日至6月30日单季度，2026H1指2026年1月1日至6月30日累计。同比均与2025年同期比较，环比均与2026Q1比较。利润率与预期偏离按未四舍五入金额计算，表内尾差来自四舍五入。</w:t>
      </w:r>
    </w:p>
    <w:p>
      <w:pPr>
        <w:spacing w:after="140" w:line="300"/>
        <w:ind w:firstLine="431"/>
      </w:pPr>
      <w:r>
        <w:rPr>
          <w:rFonts w:ascii="Arial" w:cs="Arial" w:eastAsia="Microsoft YaHei" w:hAnsi="Arial"/>
          <w:sz w:val="21"/>
          <w:szCs w:val="21"/>
        </w:rPr>
        <w:t xml:space="preserve">Q2单季现金流采用2026年7月29日初步业绩演示；H1累计现金流采用后续Form 6-K半年度业务报告。两者存在小额口径差，不将Q1与Q2初步现金流机械相加替代H1报告值。自由现金流代理值定义为经营活动现金流减购建固定资产现金支出，不是公司披露的法定指标。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15B7D"/>
          <w:sz w:val="25"/>
          <w:szCs w:val="25"/>
        </w:rPr>
        <w:t xml:space="preserve">8.2 资料清单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1600"/>
        <w:gridCol w:w="2600"/>
      </w:tblGrid>
      <w:tr>
        <w:trPr>
          <w:tblHeader/>
        </w:trPr>
        <w:tc>
          <w:tcPr>
            <w:tcW w:type="dxa" w:w="900"/>
            <w:shd w:fill="2036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4400"/>
            <w:shd w:fill="2036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资料</w:t>
            </w:r>
          </w:p>
        </w:tc>
        <w:tc>
          <w:tcPr>
            <w:tcW w:type="dxa" w:w="1600"/>
            <w:shd w:fill="2036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2600"/>
            <w:shd w:fill="20364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S1</w:t>
            </w:r>
          </w:p>
        </w:tc>
        <w:tc>
          <w:tcPr>
            <w:tcW w:type="dxa" w:w="4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SK hynix：2Q26 Financial Results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2026-07-29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季度业绩、报告期与业务驱动</w:t>
            </w:r>
          </w:p>
        </w:tc>
      </w:tr>
      <w:tr>
        <w:tc>
          <w:tcPr>
            <w:tcW w:type="dxa" w:w="9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S2</w:t>
            </w:r>
          </w:p>
        </w:tc>
        <w:tc>
          <w:tcPr>
            <w:tcW w:type="dxa" w:w="44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SK hynix：FY2026 Q2 Earnings Presentation</w:t>
            </w:r>
          </w:p>
        </w:tc>
        <w:tc>
          <w:tcPr>
            <w:tcW w:type="dxa" w:w="16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2026-07-29</w:t>
            </w:r>
          </w:p>
        </w:tc>
        <w:tc>
          <w:tcPr>
            <w:tcW w:type="dxa" w:w="26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单季财务、现金流、经营指标与指引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S3</w:t>
            </w:r>
          </w:p>
        </w:tc>
        <w:tc>
          <w:tcPr>
            <w:tcW w:type="dxa" w:w="4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SEC：SK hynix Semi-Annual Business Report（6-K）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2026-08-03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H1累计报表、投资收益、现金流与承诺</w:t>
            </w:r>
          </w:p>
        </w:tc>
      </w:tr>
      <w:tr>
        <w:tc>
          <w:tcPr>
            <w:tcW w:type="dxa" w:w="9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S4</w:t>
            </w:r>
          </w:p>
        </w:tc>
        <w:tc>
          <w:tcPr>
            <w:tcW w:type="dxa" w:w="44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Yahoo Finance：Q2 FY2026业绩会实录</w:t>
            </w:r>
          </w:p>
        </w:tc>
        <w:tc>
          <w:tcPr>
            <w:tcW w:type="dxa" w:w="16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2026-07-29</w:t>
            </w:r>
          </w:p>
        </w:tc>
        <w:tc>
          <w:tcPr>
            <w:tcW w:type="dxa" w:w="26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管理层对价格、组合、HBM4和LTA的说明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S5</w:t>
            </w:r>
          </w:p>
        </w:tc>
        <w:tc>
          <w:tcPr>
            <w:tcW w:type="dxa" w:w="4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Reuters：Q2业绩与LSEG SmartEstimate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2026-07-29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事前预期、Kioxia外部归因</w:t>
            </w:r>
          </w:p>
        </w:tc>
      </w:tr>
      <w:tr>
        <w:tc>
          <w:tcPr>
            <w:tcW w:type="dxa" w:w="9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S6</w:t>
            </w:r>
          </w:p>
        </w:tc>
        <w:tc>
          <w:tcPr>
            <w:tcW w:type="dxa" w:w="44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SK hynix：Q3 2026业绩会邀请</w:t>
            </w:r>
          </w:p>
        </w:tc>
        <w:tc>
          <w:tcPr>
            <w:tcW w:type="dxa" w:w="16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2026-10-21</w:t>
            </w:r>
          </w:p>
        </w:tc>
        <w:tc>
          <w:tcPr>
            <w:tcW w:type="dxa" w:w="26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确认Q3于截止日后发布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S7</w:t>
            </w:r>
          </w:p>
        </w:tc>
        <w:tc>
          <w:tcPr>
            <w:tcW w:type="dxa" w:w="4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SK hynix：40万亿韩元回购及FCF回报计划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2026-08-19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二季度后资本分配事项</w:t>
            </w:r>
          </w:p>
        </w:tc>
      </w:tr>
      <w:tr>
        <w:tc>
          <w:tcPr>
            <w:tcW w:type="dxa" w:w="9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S8</w:t>
            </w:r>
          </w:p>
        </w:tc>
        <w:tc>
          <w:tcPr>
            <w:tcW w:type="dxa" w:w="44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Quartz／CNBC转引LSEG SmartEstimate</w:t>
            </w:r>
          </w:p>
        </w:tc>
        <w:tc>
          <w:tcPr>
            <w:tcW w:type="dxa" w:w="16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2026-07-29</w:t>
            </w:r>
          </w:p>
        </w:tc>
        <w:tc>
          <w:tcPr>
            <w:tcW w:type="dxa" w:w="2600"/>
            <w:shd w:fill="F5F7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Microsoft YaHei" w:hAnsi="Arial"/>
                <w:b w:val="false"/>
                <w:bCs w:val="false"/>
                <w:color w:val="263238"/>
                <w:sz w:val="18"/>
                <w:szCs w:val="18"/>
              </w:rPr>
              <w:t xml:space="preserve">预期值交叉核验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Microsoft YaHei" w:hAnsi="Arial"/>
          <w:color w:val="6F8796"/>
          <w:sz w:val="18"/>
          <w:szCs w:val="18"/>
        </w:rPr>
        <w:t xml:space="preserve">表7：主要资料。完整URL与本地文件路径见随附《资料与来源清单》及Excel“来源清单”工作表。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15B7D"/>
          <w:sz w:val="25"/>
          <w:szCs w:val="25"/>
        </w:rPr>
        <w:t xml:space="preserve">8.3 限制</w:t>
      </w:r>
    </w:p>
    <w:p>
      <w:pPr>
        <w:spacing w:after="140" w:line="300"/>
        <w:ind w:firstLine="431"/>
      </w:pPr>
      <w:r>
        <w:rPr>
          <w:rFonts w:ascii="Arial" w:cs="Arial" w:eastAsia="Microsoft YaHei" w:hAnsi="Arial"/>
          <w:sz w:val="21"/>
          <w:szCs w:val="21"/>
        </w:rPr>
        <w:t xml:space="preserve">业绩演示中的单季现金流为初步值；半年度业务报告中的中期财务报表标注未经审计。外部一致预期的公开精度为整数位。公司未披露投资资产收益的具体资产、完整现金/非现金拆分及对应税负，也未披露LTA收入覆盖比例；这些缺口不作估算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40" w:line="300"/>
      <w:jc w:val="center"/>
    </w:pPr>
    <w:r>
      <w:rPr>
        <w:rFonts w:ascii="Arial" w:cs="Arial" w:eastAsia="Microsoft YaHei" w:hAnsi="Arial"/>
        <w:color w:val="6F879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140" w:line="300"/>
        <w:ind w:firstLine="431"/>
      </w:pPr>
      <w:r>
        <w:rPr>
          <w:rStyle w:val="FootnoteReference"/>
        </w:rPr>
        <w:footnoteRef/>
      </w:r>
      <w:r>
        <w:rPr>
          <w:rFonts w:ascii="Arial" w:cs="Arial" w:eastAsia="Microsoft YaHei" w:hAnsi="Arial"/>
          <w:sz w:val="21"/>
          <w:szCs w:val="21"/>
        </w:rPr>
        <w:t xml:space="preserve">SK hynix Newsroom, “SK hynix Announces 2Q26 Financial Results”, 2026-07-29；SK hynix Newsroom, “Q3 2026 Earnings Conference Call Invitation”, 2026-10-21。https://news.skhynix.com/en/q2-2026-business-results/；https://news.skhynix.com/en/q3-2026-earnings-conference-call-invitation/</w:t>
      </w:r>
    </w:p>
  </w:footnote>
  <w:footnote w:id="2">
    <w:p>
      <w:pPr>
        <w:spacing w:after="140" w:line="300"/>
        <w:ind w:firstLine="431"/>
      </w:pPr>
      <w:r>
        <w:rPr>
          <w:rStyle w:val="FootnoteReference"/>
        </w:rPr>
        <w:footnoteRef/>
      </w:r>
      <w:r>
        <w:rPr>
          <w:rFonts w:ascii="Arial" w:cs="Arial" w:eastAsia="Microsoft YaHei" w:hAnsi="Arial"/>
          <w:sz w:val="21"/>
          <w:szCs w:val="21"/>
        </w:rPr>
        <w:t xml:space="preserve">SK hynix, Semi-Annual Business Report, Form 6-K, 2026-08-03，报告期2026-01-01至2026-06-30。https://www.sec.gov/Archives/edgar/data/2120882/000119312526354777/d147827d6k.htm</w:t>
      </w:r>
    </w:p>
  </w:footnote>
  <w:footnote w:id="3">
    <w:p>
      <w:pPr>
        <w:spacing w:after="140" w:line="300"/>
        <w:ind w:firstLine="431"/>
      </w:pPr>
      <w:r>
        <w:rPr>
          <w:rStyle w:val="FootnoteReference"/>
        </w:rPr>
        <w:footnoteRef/>
      </w:r>
      <w:r>
        <w:rPr>
          <w:rFonts w:ascii="Arial" w:cs="Arial" w:eastAsia="Microsoft YaHei" w:hAnsi="Arial"/>
          <w:sz w:val="21"/>
          <w:szCs w:val="21"/>
        </w:rPr>
        <w:t xml:space="preserve">SK hynix FY2026 Q2 Earnings Presentation，第4页；Yahoo Finance，SK hynix Q2 FY2026 earnings call transcript，2026-07-29。https://finance.yahoo.com/quote/000660.KS/earnings/000660.KS-Q2-2026-earnings_call-653208.html</w:t>
      </w:r>
    </w:p>
  </w:footnote>
  <w:footnote w:id="4">
    <w:p>
      <w:pPr>
        <w:spacing w:after="140" w:line="300"/>
        <w:ind w:firstLine="431"/>
      </w:pPr>
      <w:r>
        <w:rPr>
          <w:rStyle w:val="FootnoteReference"/>
        </w:rPr>
        <w:footnoteRef/>
      </w:r>
      <w:r>
        <w:rPr>
          <w:rFonts w:ascii="Arial" w:cs="Arial" w:eastAsia="Microsoft YaHei" w:hAnsi="Arial"/>
          <w:sz w:val="21"/>
          <w:szCs w:val="21"/>
        </w:rPr>
        <w:t xml:space="preserve">SK hynix FY2026 Q2 Earnings Presentation，第5、14、19页；Form 6-K半年度业务报告，合并中期综合收益表。</w:t>
      </w:r>
    </w:p>
  </w:footnote>
  <w:footnote w:id="5">
    <w:p>
      <w:pPr>
        <w:spacing w:after="140" w:line="300"/>
        <w:ind w:firstLine="431"/>
      </w:pPr>
      <w:r>
        <w:rPr>
          <w:rStyle w:val="FootnoteReference"/>
        </w:rPr>
        <w:footnoteRef/>
      </w:r>
      <w:r>
        <w:rPr>
          <w:rFonts w:ascii="Arial" w:cs="Arial" w:eastAsia="Microsoft YaHei" w:hAnsi="Arial"/>
          <w:sz w:val="21"/>
          <w:szCs w:val="21"/>
        </w:rPr>
        <w:t xml:space="preserve">Yahoo Finance，SK hynix Q2 FY2026 earnings call transcript，2026-07-29，DRAM ASP问答，约00:31:33—00:34:16。</w:t>
      </w:r>
    </w:p>
  </w:footnote>
  <w:footnote w:id="6">
    <w:p>
      <w:pPr>
        <w:spacing w:after="140" w:line="300"/>
        <w:ind w:firstLine="431"/>
      </w:pPr>
      <w:r>
        <w:rPr>
          <w:rStyle w:val="FootnoteReference"/>
        </w:rPr>
        <w:footnoteRef/>
      </w:r>
      <w:r>
        <w:rPr>
          <w:rFonts w:ascii="Arial" w:cs="Arial" w:eastAsia="Microsoft YaHei" w:hAnsi="Arial"/>
          <w:sz w:val="21"/>
          <w:szCs w:val="21"/>
        </w:rPr>
        <w:t xml:space="preserve">Form 6-K半年度业务报告，附注24“Finance Income and Expenses”；SK hynix FY2026 Q2 Earnings Presentation，第6页。</w:t>
      </w:r>
    </w:p>
  </w:footnote>
  <w:footnote w:id="7">
    <w:p>
      <w:pPr>
        <w:spacing w:after="140" w:line="300"/>
        <w:ind w:firstLine="431"/>
      </w:pPr>
      <w:r>
        <w:rPr>
          <w:rStyle w:val="FootnoteReference"/>
        </w:rPr>
        <w:footnoteRef/>
      </w:r>
      <w:r>
        <w:rPr>
          <w:rFonts w:ascii="Arial" w:cs="Arial" w:eastAsia="Microsoft YaHei" w:hAnsi="Arial"/>
          <w:sz w:val="21"/>
          <w:szCs w:val="21"/>
        </w:rPr>
        <w:t xml:space="preserve">Reuters, “SK hynix’s record profit misses forecasts, shares slump 10% despite robust AI chip demand”, 2026-07-29。报道明确写作“Analysts estimated”，并非公司确认。https://www.investing.com/news/stock-market-news/sk-hynix-q2-profit-jumps-557-on-ai-chip-demand-misses-forecasts-4818344</w:t>
      </w:r>
    </w:p>
  </w:footnote>
  <w:footnote w:id="8">
    <w:p>
      <w:pPr>
        <w:spacing w:after="140" w:line="300"/>
        <w:ind w:firstLine="431"/>
      </w:pPr>
      <w:r>
        <w:rPr>
          <w:rStyle w:val="FootnoteReference"/>
        </w:rPr>
        <w:footnoteRef/>
      </w:r>
      <w:r>
        <w:rPr>
          <w:rFonts w:ascii="Arial" w:cs="Arial" w:eastAsia="Microsoft YaHei" w:hAnsi="Arial"/>
          <w:sz w:val="21"/>
          <w:szCs w:val="21"/>
        </w:rPr>
        <w:t xml:space="preserve">SK hynix FY2026 Q2 Earnings Presentation，第15页“Statement of Cash Flows”。自由现金流代理值为本文计算。</w:t>
      </w:r>
    </w:p>
  </w:footnote>
  <w:footnote w:id="9">
    <w:p>
      <w:pPr>
        <w:spacing w:after="140" w:line="300"/>
        <w:ind w:firstLine="431"/>
      </w:pPr>
      <w:r>
        <w:rPr>
          <w:rStyle w:val="FootnoteReference"/>
        </w:rPr>
        <w:footnoteRef/>
      </w:r>
      <w:r>
        <w:rPr>
          <w:rFonts w:ascii="Arial" w:cs="Arial" w:eastAsia="Microsoft YaHei" w:hAnsi="Arial"/>
          <w:sz w:val="21"/>
          <w:szCs w:val="21"/>
        </w:rPr>
        <w:t xml:space="preserve">SK hynix FY2026 Q2 Earnings Presentation，第15、18页；Form 6-K半年度业务报告，合并财务状况表。</w:t>
      </w:r>
    </w:p>
  </w:footnote>
  <w:footnote w:id="10">
    <w:p>
      <w:pPr>
        <w:spacing w:after="140" w:line="300"/>
        <w:ind w:firstLine="431"/>
      </w:pPr>
      <w:r>
        <w:rPr>
          <w:rStyle w:val="FootnoteReference"/>
        </w:rPr>
        <w:footnoteRef/>
      </w:r>
      <w:r>
        <w:rPr>
          <w:rFonts w:ascii="Arial" w:cs="Arial" w:eastAsia="Microsoft YaHei" w:hAnsi="Arial"/>
          <w:sz w:val="21"/>
          <w:szCs w:val="21"/>
        </w:rPr>
        <w:t xml:space="preserve">Form 6-K半年度业务报告，合并中期现金流量表：经营现金流91,742,501百万韩元、购建固定资产18,328,836百万韩元、收到股利13,983,648百万韩元。剔除股利后的数字为本文分析口径。</w:t>
      </w:r>
    </w:p>
  </w:footnote>
  <w:footnote w:id="11">
    <w:p>
      <w:pPr>
        <w:spacing w:after="140" w:line="300"/>
        <w:ind w:firstLine="431"/>
      </w:pPr>
      <w:r>
        <w:rPr>
          <w:rStyle w:val="FootnoteReference"/>
        </w:rPr>
        <w:footnoteRef/>
      </w:r>
      <w:r>
        <w:rPr>
          <w:rFonts w:ascii="Arial" w:cs="Arial" w:eastAsia="Microsoft YaHei" w:hAnsi="Arial"/>
          <w:sz w:val="21"/>
          <w:szCs w:val="21"/>
        </w:rPr>
        <w:t xml:space="preserve">SK hynix FY2026 Q2 Earnings Presentation，第7、18页。净现金为广义现金减有息负债。</w:t>
      </w:r>
    </w:p>
  </w:footnote>
  <w:footnote w:id="12">
    <w:p>
      <w:pPr>
        <w:spacing w:after="140" w:line="300"/>
        <w:ind w:firstLine="431"/>
      </w:pPr>
      <w:r>
        <w:rPr>
          <w:rStyle w:val="FootnoteReference"/>
        </w:rPr>
        <w:footnoteRef/>
      </w:r>
      <w:r>
        <w:rPr>
          <w:rFonts w:ascii="Arial" w:cs="Arial" w:eastAsia="Microsoft YaHei" w:hAnsi="Arial"/>
          <w:sz w:val="21"/>
          <w:szCs w:val="21"/>
        </w:rPr>
        <w:t xml:space="preserve">Reuters，2026-07-29，文中列示“64 trillion won forecast by LSEG SmartEstimate”及“84 trillion won estimate”；Quartz同日转引CNBC/LSEG作交叉核验。</w:t>
      </w:r>
    </w:p>
  </w:footnote>
  <w:footnote w:id="13">
    <w:p>
      <w:pPr>
        <w:spacing w:after="140" w:line="300"/>
        <w:ind w:firstLine="431"/>
      </w:pPr>
      <w:r>
        <w:rPr>
          <w:rStyle w:val="FootnoteReference"/>
        </w:rPr>
        <w:footnoteRef/>
      </w:r>
      <w:r>
        <w:rPr>
          <w:rFonts w:ascii="Arial" w:cs="Arial" w:eastAsia="Microsoft YaHei" w:hAnsi="Arial"/>
          <w:sz w:val="21"/>
          <w:szCs w:val="21"/>
        </w:rPr>
        <w:t xml:space="preserve">SK hynix FY2026 Q2 Earnings Presentation，第9—10页；Yahoo Finance业绩会实录，约00:07:40—00:08:34。</w:t>
      </w:r>
    </w:p>
  </w:footnote>
  <w:footnote w:id="14">
    <w:p>
      <w:pPr>
        <w:spacing w:after="140" w:line="300"/>
        <w:ind w:firstLine="431"/>
      </w:pPr>
      <w:r>
        <w:rPr>
          <w:rStyle w:val="FootnoteReference"/>
        </w:rPr>
        <w:footnoteRef/>
      </w:r>
      <w:r>
        <w:rPr>
          <w:rFonts w:ascii="Arial" w:cs="Arial" w:eastAsia="Microsoft YaHei" w:hAnsi="Arial"/>
          <w:sz w:val="21"/>
          <w:szCs w:val="21"/>
        </w:rPr>
        <w:t xml:space="preserve">SK hynix FY2026 Q2 Earnings Presentation，第11页；Yahoo Finance业绩会实录，HBM问答。</w:t>
      </w:r>
    </w:p>
  </w:footnote>
  <w:footnote w:id="15">
    <w:p>
      <w:pPr>
        <w:spacing w:after="140" w:line="300"/>
        <w:ind w:firstLine="431"/>
      </w:pPr>
      <w:r>
        <w:rPr>
          <w:rStyle w:val="FootnoteReference"/>
        </w:rPr>
        <w:footnoteRef/>
      </w:r>
      <w:r>
        <w:rPr>
          <w:rFonts w:ascii="Arial" w:cs="Arial" w:eastAsia="Microsoft YaHei" w:hAnsi="Arial"/>
          <w:sz w:val="21"/>
          <w:szCs w:val="21"/>
        </w:rPr>
        <w:t xml:space="preserve">SK hynix FY2026 Q2 Earnings Presentation，第12页；Yahoo Finance业绩会实录，约00:11:01。</w:t>
      </w:r>
    </w:p>
  </w:footnote>
  <w:footnote w:id="16">
    <w:p>
      <w:pPr>
        <w:spacing w:after="140" w:line="300"/>
        <w:ind w:firstLine="431"/>
      </w:pPr>
      <w:r>
        <w:rPr>
          <w:rStyle w:val="FootnoteReference"/>
        </w:rPr>
        <w:footnoteRef/>
      </w:r>
      <w:r>
        <w:rPr>
          <w:rFonts w:ascii="Arial" w:cs="Arial" w:eastAsia="Microsoft YaHei" w:hAnsi="Arial"/>
          <w:sz w:val="21"/>
          <w:szCs w:val="21"/>
        </w:rPr>
        <w:t xml:space="preserve">SK hynix FY2026 Q2 Earnings Presentation，第10页；Yahoo Finance业绩会实录，LTA问答，约00:25:34—00:30:21；Reuters，2026-07-29。</w:t>
      </w:r>
    </w:p>
  </w:footnote>
  <w:footnote w:id="17">
    <w:p>
      <w:pPr>
        <w:spacing w:after="140" w:line="300"/>
        <w:ind w:firstLine="431"/>
      </w:pPr>
      <w:r>
        <w:rPr>
          <w:rStyle w:val="FootnoteReference"/>
        </w:rPr>
        <w:footnoteRef/>
      </w:r>
      <w:r>
        <w:rPr>
          <w:rFonts w:ascii="Arial" w:cs="Arial" w:eastAsia="Microsoft YaHei" w:hAnsi="Arial"/>
          <w:sz w:val="21"/>
          <w:szCs w:val="21"/>
        </w:rPr>
        <w:t xml:space="preserve">SK hynix Newsroom, “SK hynix Accelerates 40 Trillion won Share Repurchase and Cancellation Program…”, 2026-08-19。https://news.skhynix.com/en/share-buyback-and-retirement/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right"/>
    </w:pPr>
    <w:r>
      <w:rPr>
        <w:rFonts w:ascii="Arial" w:cs="Arial" w:eastAsia="Microsoft YaHei" w:hAnsi="Arial"/>
        <w:color w:val="6F8796"/>
        <w:sz w:val="17"/>
        <w:szCs w:val="17"/>
      </w:rPr>
      <w:t xml:space="preserve">SK海力士 2026Q2 业绩点评｜信息截止2026-10-26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>
      <w:pPr>
        <w:spacing w:after="14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2b340558bc047097fbfdf51a87895ad5478d57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2026-10-27T13:44:10.457Z</dcterms:created>
  <dcterms:modified xsi:type="dcterms:W3CDTF">2026-10-27T13:44:10.458Z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