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Borrador del Contrato RD-AMI – Puntos a Considerar</w:t>
      </w:r>
    </w:p>
    <w:p>
      <w:r>
        <w:t>Versión base: CONTRATO MAESTRO DE DESARROLLO, COPROPIEDAD INTELECTUAL Y COLABORACIÓN COMERCIAL DEL SISTEMA “RD‑AMI”.</w:t>
      </w:r>
    </w:p>
    <w:p>
      <w:r>
        <w:t>Este documento muestra los apartados relevantes del contrato y las observaciones que deben revisarse antes de su versión final.</w:t>
      </w:r>
    </w:p>
    <w:p>
      <w:pPr>
        <w:pStyle w:val="Heading2"/>
      </w:pPr>
      <w:r>
        <w:t>1. Copropiedad y Licencia Exclusiva</w:t>
      </w:r>
    </w:p>
    <w:p>
      <w:r>
        <w:t>El contrato establece copropiedad 50/50 en derechos patrimoniales y morales, pero otorga una licencia exclusiva e irrevocable del 100% a SME. Esto podría limitar el derecho de VCORP a usar el sistema como portafolio técnico.</w:t>
      </w:r>
    </w:p>
    <w:p>
      <w:r>
        <w:t>✅ Revisión sugerida: cambiar la licencia a 'exclusiva para explotación comercial', manteniendo uso interno para VCORP.</w:t>
      </w:r>
    </w:p>
    <w:p>
      <w:pPr>
        <w:pStyle w:val="Heading2"/>
      </w:pPr>
      <w:r>
        <w:t>2. Implementación y Servicios Técnicos</w:t>
      </w:r>
    </w:p>
    <w:p>
      <w:r>
        <w:t>Actualmente no se especifica cómo se manejarán los costos de implementación, configuración o capacitación en cada nuevo cliente.</w:t>
      </w:r>
    </w:p>
    <w:p>
      <w:r>
        <w:t>✅ Propuesta de cláusula: incorporar una 'Cláusula Tercera Bis' donde se establezca que los ingresos por implementación pertenecen íntegramente a VCORP mientras no exista una plantilla conjunta de implementación AMI‑VCORP.</w:t>
      </w:r>
    </w:p>
    <w:p>
      <w:pPr>
        <w:pStyle w:val="Heading2"/>
      </w:pPr>
      <w:r>
        <w:t>3. Comité de Gobernanza</w:t>
      </w:r>
    </w:p>
    <w:p>
      <w:r>
        <w:t>Correctamente definido con representación paritaria, pero debe añadirse que podrá revisar y aprobar el modelo de implementación futuro.</w:t>
      </w:r>
    </w:p>
    <w:p>
      <w:pPr>
        <w:pStyle w:val="Heading2"/>
      </w:pPr>
      <w:r>
        <w:t>4. Escrow y SLA</w:t>
      </w:r>
    </w:p>
    <w:p>
      <w:r>
        <w:t>El texto menciona un Anexo III de SLA pero en la lista solo aparecen dos anexos. Debe agregarse un anexo de niveles de servicio y soporte técnico, así como especificar el repositorio de depósito tecnológico.</w:t>
      </w:r>
    </w:p>
    <w:p>
      <w:pPr>
        <w:pStyle w:val="Heading2"/>
      </w:pPr>
      <w:r>
        <w:t>5. No Competencia</w:t>
      </w:r>
    </w:p>
    <w:p>
      <w:r>
        <w:t>Hay inconsistencia en el plazo ('veinticuatro (60) meses'). Se recomienda aclarar y reducir a 24 meses dentro del sector salud mexicano.</w:t>
      </w:r>
    </w:p>
    <w:p>
      <w:pPr>
        <w:pStyle w:val="Heading2"/>
      </w:pPr>
      <w:r>
        <w:t>6. Vigencia y Terminación</w:t>
      </w:r>
    </w:p>
    <w:p>
      <w:r>
        <w:t>Agregar condiciones de rescisión anticipada, causas justificadas y procedimiento de salida ordenada.</w:t>
      </w:r>
    </w:p>
    <w:p>
      <w:pPr>
        <w:pStyle w:val="Heading2"/>
      </w:pPr>
      <w:r>
        <w:t>7. Firmas y Testigos</w:t>
      </w:r>
    </w:p>
    <w:p>
      <w:r>
        <w:t>Confirmar identidad de testigos. Sugerencia: incluir testigo técnico o jurídico de VCORP distinto del firmante.</w:t>
      </w:r>
    </w:p>
    <w:p>
      <w:r>
        <w:br/>
        <w:t>---</w:t>
        <w:br/>
        <w:t>Documento de apoyo interno para la reunión de revisión contractual RD‑AMI.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