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Notas para Revisión con Lic. Álan – Contrato RD‑AMI (Implementación)</w:t>
      </w:r>
    </w:p>
    <w:p>
      <w:r>
        <w:t>Objetivo: Definir criterios sobre la ejecución y cobro de implementaciones del sistema RD‑AMI.</w:t>
      </w:r>
    </w:p>
    <w:p>
      <w:pPr>
        <w:pStyle w:val="Heading2"/>
      </w:pPr>
      <w:r>
        <w:t>1. Naturaleza del Servicio</w:t>
      </w:r>
    </w:p>
    <w:p>
      <w:r>
        <w:t>La implementación técnica, configuración, capacitación y soporte inicial son servicios profesionales independientes, no forman parte de la explotación comercial del software.</w:t>
      </w:r>
    </w:p>
    <w:p>
      <w:pPr>
        <w:pStyle w:val="Heading2"/>
      </w:pPr>
      <w:r>
        <w:t>2. Responsable Operativo</w:t>
      </w:r>
    </w:p>
    <w:p>
      <w:r>
        <w:t>Mientras no exista una plantilla conjunta AMI‑VCORP, VCORP será responsable de realizar la implementación y capacitación a nuevos clientes.</w:t>
      </w:r>
    </w:p>
    <w:p>
      <w:pPr>
        <w:pStyle w:val="Heading2"/>
      </w:pPr>
      <w:r>
        <w:t>3. Propiedad de los Ingresos</w:t>
      </w:r>
    </w:p>
    <w:p>
      <w:r>
        <w:t>Los ingresos generados por estos servicios pertenecen íntegramente a VCORP, sin reparto de regalías a SME, por corresponder a trabajo técnico y operativo.</w:t>
      </w:r>
    </w:p>
    <w:p>
      <w:pPr>
        <w:pStyle w:val="Heading2"/>
      </w:pPr>
      <w:r>
        <w:t>4. Relación con Regalías</w:t>
      </w:r>
    </w:p>
    <w:p>
      <w:r>
        <w:t>La distribución 80/20 del Ingreso Neto aplica únicamente a la explotación comercial (licencias y SaaS). Los cobros por implementación no se incluyen en ese cálculo.</w:t>
      </w:r>
    </w:p>
    <w:p>
      <w:pPr>
        <w:pStyle w:val="Heading2"/>
      </w:pPr>
      <w:r>
        <w:t>5. Propuesta de Redacción Tentativa</w:t>
      </w:r>
    </w:p>
    <w:p>
      <w:r>
        <w:t>“Los servicios de implementación, configuración, integración y capacitación inicial serán prestados por VCORP, y los ingresos derivados de ellos no formarán parte del Ingreso Neto compartido, perteneciendo íntegramente a VCORP, salvo que el Comité de Gobernanza acuerde un modelo conjunto de ejecución.”</w:t>
      </w:r>
    </w:p>
    <w:p>
      <w:r>
        <w:br/>
        <w:t>---</w:t>
        <w:br/>
        <w:t>Espacio para comentarios y acuerdos con Álan durante la reunión.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