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Daniel was appointed Executive Director and Chief Executive Officer of Digital Domain Holdings Limited on September 29, 2014. Mr. Seah graduated from Peking University with a Masters Degree of Law (focusing in international politics) and Bachelor of Arts Degree in Law. He previously worked as an investment banker at Barclays and has extensive experience in the financial industry with expertise in securities, options, fund management and international businesses development. His in-depth knowledge of the private equity markets in Greater China and global markets enabled him to focus on business development around the world. From May 2010 to March 2013, Mr. Seah was also senior management of United Simsen Securities Limited, a company which provides brokerage services on securities, foreign exchange, gold bullion, futures and mutual funds. From June 2012 to March 2013, Mr. Seah was a non-executive director of King Stone Energy Group Limited (stock code: 663), a company whose shares are listed on The Stock Exchange of Hong Kong Limited.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Daniel was appointed Executive Director and Chief Executive Officer of Digital Domain Holdings Limited on September 29, 2014. Mr. Seah graduated from Peking University with a Masters Degree of Law and Bachelor of Arts Degree in Law. His in-depth knowledge of the private equity markets in Greater China and global markets enabled him to focus on business development around the world.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