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Mr. Jeffrey Chu is a Partner in the San Francisco office and focuses on technology investments. He currently serves on the Board of Directors of Shots and Drop and as a Board Observer at Nom, Wynd, ViSenze, and Poshly. He also leads WI Harper’s seed fund investment efforts. </w:t>
        <w:br w:type="textWrapping"/>
        <w:t xml:space="preserve">Before joining WI Harper, Mr. Chu was an Investment Manager at Keytone Ventures, a venture capital firm based in Beijing where he was responsible for early to growth stage TMT investments. Some of his prior investments include PapayaMobile, ChinaPnR, Borqs and MobilePeak. Prior to that, he worked as an Associate at China eCapital, an investment bank focused on media, healthcare, and consumer services. Mr. Chu began his career at Bear Stearns as a financial analyst covering global capital markets. </w:t>
        <w:br w:type="textWrapping"/>
        <w:t xml:space="preserve">Mr. Chu graduated with a dual degree in Finance and International Business from New York University's Stern School of Business.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Mr. Jeffrey Chu is a Partner in the San Francisco office and focuses on technology investments. He currently serves on the Board of Directors of Shots and Drop and as a Board Observer at Nom, Wynd, ViSenze, and Poshly. He also leads WI Harper’s seed fund investment efforts. He graduated with a dual degree in Finance and International Business from New York University.</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