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Sarah joined Uber in October of 2016, and oversees the company’s public affairs and policy work in Southern California.</w:t>
        <w:br w:type="textWrapping"/>
        <w:br w:type="textWrapping"/>
        <w:t xml:space="preserve">Most recently, Sarah served as Faraday Future's Associate Director of Government Relations &amp; Public Policy, where she developed and drove the emerging automaker’s first national government affairs strategy and portfolio. Sarah was previously with the Obama Administration, where she was the Director of the White House Climate Action Champions Program, launched by the President to accelerate sub-national climate action via cross-agency solutions.</w:t>
        <w:br w:type="textWrapping"/>
        <w:br w:type="textWrapping"/>
        <w:t xml:space="preserve">In addition, Sarah also served on the President’s Community Solutions Task Force, a team developed to re-examine Federal programs to improve how the government designs and implements efforts to support local communities across environment, health, economic development, etc.</w:t>
        <w:br w:type="textWrapping"/>
        <w:br w:type="textWrapping"/>
        <w:t xml:space="preserve">Prior to joining the Administration, Sarah served as the Deputy Director of Global Strategy for the C40 Cities Climate Leadership Group, and the Los Angeles City Director of the Clinton Climate Initiative.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