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aps/>
          <w:color w:val="1F6B45"/>
          <w:sz w:val="22"/>
          <w:szCs w:val="22"/>
        </w:rPr>
        <w:t xml:space="preserve">MXD · Plataforma web MX80</w:t>
      </w:r>
    </w:p>
    <w:p>
      <w:pPr>
        <w:spacing w:after="120"/>
      </w:pPr>
      <w:r>
        <w:rPr>
          <w:b/>
          <w:bCs/>
          <w:sz w:val="52"/>
          <w:szCs w:val="52"/>
        </w:rPr>
        <w:t xml:space="preserve">Especificación de requerimientos</w:t>
      </w:r>
    </w:p>
    <w:p>
      <w:pPr>
        <w:spacing w:after="480"/>
      </w:pPr>
      <w:r>
        <w:rPr>
          <w:color w:val="5F6B66"/>
          <w:sz w:val="34"/>
          <w:szCs w:val="34"/>
        </w:rPr>
        <w:t xml:space="preserve">Vitrina — mxddrone.com</w:t>
      </w:r>
    </w:p>
    <w:p>
      <w:pPr>
        <w:spacing w:after="120" w:line="288"/>
      </w:pPr>
      <w:r>
        <w:rPr>
          <w:b/>
          <w:bCs/>
        </w:rPr>
        <w:t xml:space="preserve">Versión: </w:t>
      </w:r>
      <w:r>
        <w:t xml:space="preserve">0.1</w:t>
      </w:r>
    </w:p>
    <w:p>
      <w:pPr>
        <w:spacing w:after="120" w:line="288"/>
      </w:pPr>
      <w:r>
        <w:rPr>
          <w:b/>
          <w:bCs/>
        </w:rPr>
        <w:t xml:space="preserve">Fecha: </w:t>
      </w:r>
      <w:r>
        <w:t xml:space="preserve">12 de octubre de 2026</w:t>
      </w:r>
    </w:p>
    <w:p>
      <w:pPr>
        <w:spacing w:after="120" w:line="288"/>
      </w:pPr>
      <w:r>
        <w:rPr>
          <w:b/>
          <w:bCs/>
        </w:rPr>
        <w:t xml:space="preserve">Estado del documento: </w:t>
      </w:r>
      <w:r>
        <w:t xml:space="preserve">Borrador para revisión del equipo</w:t>
      </w:r>
    </w:p>
    <w:p>
      <w:pPr>
        <w:spacing w:after="120" w:line="288"/>
      </w:pPr>
      <w:r>
        <w:rPr>
          <w:b/>
          <w:bCs/>
        </w:rPr>
        <w:t xml:space="preserve">Responsables: </w:t>
      </w:r>
      <w:r>
        <w:t xml:space="preserve">Eduardo (estructura y roadmap), Francisco y Axel (modelos y desarrollo)</w:t>
      </w:r>
    </w:p>
    <w:p>
      <w:pPr>
        <w:spacing w:after="120" w:before="480"/>
      </w:pPr>
      <w:r>
        <w:rPr>
          <w:b/>
          <w:bCs/>
          <w:sz w:val="24"/>
          <w:szCs w:val="24"/>
        </w:rP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456"/>
        <w:gridCol w:w="2080"/>
        <w:gridCol w:w="4784"/>
      </w:tblGrid>
      <w:tr>
        <w:trPr>
          <w:tblHeader/>
        </w:trPr>
        <w:tc>
          <w:tcPr>
            <w:tcW w:type="dxa" w:w="104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Versión</w:t>
            </w:r>
          </w:p>
        </w:tc>
        <w:tc>
          <w:tcPr>
            <w:tcW w:type="dxa" w:w="145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Fecha</w:t>
            </w:r>
          </w:p>
        </w:tc>
        <w:tc>
          <w:tcPr>
            <w:tcW w:type="dxa" w:w="208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Autor</w:t>
            </w:r>
          </w:p>
        </w:tc>
        <w:tc>
          <w:tcPr>
            <w:tcW w:type="dxa" w:w="4784"/>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Cambios</w:t>
            </w:r>
          </w:p>
        </w:tc>
      </w:tr>
      <w:tr>
        <w:trPr>
          <w:cantSplit/>
        </w:trPr>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0.1</w:t>
            </w:r>
          </w:p>
        </w:tc>
        <w:tc>
          <w:tcPr>
            <w:tcW w:type="dxa" w:w="145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2026-10-12</w:t>
            </w:r>
          </w:p>
        </w:tc>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Axel Espitia</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Primera versión, reconstruida a partir del código del repo y de CLAUDE.md. Pendiente de revisión del equipo.</w:t>
            </w:r>
          </w:p>
        </w:tc>
      </w:tr>
    </w:tbl>
    <w:p>
      <w:pPr>
        <w:spacing w:after="160"/>
      </w:pPr>
    </w:p>
    <w:p>
      <w:r>
        <w:br w:type="page"/>
      </w:r>
    </w:p>
    <w:p>
      <w:pPr>
        <w:spacing w:after="200"/>
      </w:pPr>
      <w:r>
        <w:rPr>
          <w:b/>
          <w:bCs/>
          <w:sz w:val="32"/>
          <w:szCs w:val="32"/>
        </w:rPr>
        <w:t xml:space="preserve">Contenido</w:t>
      </w:r>
    </w:p>
    <w:sdt>
      <w:sdtPr>
        <w:alias w:val="Contenido"/>
      </w:sdtPr>
      <w:sdtContent>
        <w:p>
          <w:pPr>
            <w:pStyle w:val="TOC1"/>
            <w:tabs>
              <w:tab w:val="right" w:pos="9360"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Cómo leer este documento</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Definiciones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Descripción general</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Contexto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Usuarios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Restricciones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Supuestos y dependencias</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3. Requerimientos de alto nivel</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4. Requerimientos del sistema</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5. Requerimientos funcionales</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6. Requerimientos no funcionales</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7. Requerimientos de bajo nivel</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8. Matriz de trazabilidad</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9. Criterios de aceptación</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10. Preguntas abiertas</w:t>
            </w:r>
            <w:r>
              <w:tab/>
            </w:r>
            <w:r>
              <w:fldChar w:fldCharType="begin" w:dirty="true"/>
              <w:instrText xml:space="preserve">PAGEREF _Toc18 \h</w:instrText>
              <w:fldChar w:fldCharType="separate"/>
              <w:fldChar w:fldCharType="end"/>
            </w:r>
          </w:hyperlink>
        </w:p>
        <w:p>
          <w:r>
            <w:fldChar w:fldCharType="end"/>
          </w:r>
        </w:p>
      </w:sdtContent>
    </w:sdt>
    <w:p>
      <w:pPr>
        <w:spacing w:after="120" w:line="288"/>
      </w:pPr>
      <w:r>
        <w:rPr>
          <w:i/>
          <w:iCs/>
          <w:color w:val="5F6B66"/>
          <w:sz w:val="18"/>
          <w:szCs w:val="18"/>
        </w:rPr>
        <w:t xml:space="preserve">Si el índice aparece vacío, en Word: clic derecho sobre él y "Actualizar campos".</w:t>
      </w:r>
    </w:p>
    <w:p>
      <w:pPr>
        <w:pStyle w:val="Heading1"/>
        <w:pageBreakBefore/>
      </w:pPr>
      <w:bookmarkStart w:name="_Toc1" w:id="1"/>
      <w:r>
        <w:t xml:space="preserve">1. Introducción</w:t>
      </w:r>
      <w:bookmarkEnd w:id="1"/>
    </w:p>
    <w:p>
      <w:pPr>
        <w:pStyle w:val="Heading2"/>
      </w:pPr>
      <w:bookmarkStart w:name="_Toc2" w:id="2"/>
      <w:r>
        <w:t xml:space="preserve">1.1 Propósito</w:t>
      </w:r>
      <w:bookmarkEnd w:id="2"/>
    </w:p>
    <w:p>
      <w:pPr>
        <w:spacing w:after="120" w:line="288"/>
      </w:pPr>
      <w:r>
        <w:t xml:space="preserve">Este documento define qué debe hacer la vitrina, el sitio público de MXD, y qué no debe hacer. Sirve para decidir qué entra en cada checkpoint semanal y para comprobar que lo entregado es lo que se pidió.</w:t>
      </w:r>
    </w:p>
    <w:p>
      <w:pPr>
        <w:spacing w:after="120" w:line="288"/>
      </w:pPr>
      <w:r>
        <w:t xml:space="preserve">La vitrina es material de venta. Su trabajo es que cualquier persona entienda cómo está hecho el MX80 explorándolo en 3D. Su restricción principal es que los datos de ingeniería no existan en lo que se manda al navegador.</w:t>
      </w:r>
    </w:p>
    <w:p>
      <w:pPr>
        <w:pStyle w:val="Heading2"/>
      </w:pPr>
      <w:bookmarkStart w:name="_Toc3" w:id="3"/>
      <w:r>
        <w:t xml:space="preserve">1.2 Alcance</w:t>
      </w:r>
      <w:bookmarkEnd w:id="3"/>
    </w:p>
    <w:p>
      <w:pPr>
        <w:spacing w:after="120" w:line="288"/>
      </w:pPr>
      <w:r>
        <w:rPr>
          <w:b/>
          <w:bCs/>
        </w:rPr>
        <w:t xml:space="preserve">Incluye:</w:t>
      </w:r>
    </w:p>
    <w:p>
      <w:pPr>
        <w:pStyle w:val="ListParagraph"/>
        <w:numPr>
          <w:ilvl w:val="0"/>
          <w:numId w:val="2"/>
        </w:numPr>
        <w:spacing w:after="60" w:line="276"/>
      </w:pPr>
      <w:r>
        <w:t xml:space="preserve">Página de inicio con el visor del ensamble.</w:t>
      </w:r>
    </w:p>
    <w:p>
      <w:pPr>
        <w:pStyle w:val="ListParagraph"/>
        <w:numPr>
          <w:ilvl w:val="0"/>
          <w:numId w:val="2"/>
        </w:numPr>
        <w:spacing w:after="60" w:line="276"/>
      </w:pPr>
      <w:r>
        <w:t xml:space="preserve">Explorador 3D del MX80: girar, despiezar, aislar piezas.</w:t>
      </w:r>
    </w:p>
    <w:p>
      <w:pPr>
        <w:pStyle w:val="ListParagraph"/>
        <w:numPr>
          <w:ilvl w:val="0"/>
          <w:numId w:val="2"/>
        </w:numPr>
        <w:spacing w:after="60" w:line="276"/>
      </w:pPr>
      <w:r>
        <w:t xml:space="preserve">Catálogo de piezas agrupado por subsistema y página de cada pieza.</w:t>
      </w:r>
    </w:p>
    <w:p>
      <w:pPr>
        <w:pStyle w:val="ListParagraph"/>
        <w:numPr>
          <w:ilvl w:val="0"/>
          <w:numId w:val="2"/>
        </w:numPr>
        <w:spacing w:after="60" w:line="276"/>
      </w:pPr>
      <w:r>
        <w:t xml:space="preserve">Recorte de datos a nivel público y su verificación.</w:t>
      </w:r>
    </w:p>
    <w:p>
      <w:pPr>
        <w:pStyle w:val="ListParagraph"/>
        <w:numPr>
          <w:ilvl w:val="0"/>
          <w:numId w:val="2"/>
        </w:numPr>
        <w:spacing w:after="60" w:line="276"/>
      </w:pPr>
      <w:r>
        <w:t xml:space="preserve">Despliegue automático a mxddrone.com.</w:t>
      </w:r>
    </w:p>
    <w:p>
      <w:pPr>
        <w:spacing w:after="120" w:line="288"/>
      </w:pPr>
      <w:r>
        <w:rPr>
          <w:b/>
          <w:bCs/>
        </w:rPr>
        <w:t xml:space="preserve">No incluye:</w:t>
      </w:r>
    </w:p>
    <w:p>
      <w:pPr>
        <w:pStyle w:val="ListParagraph"/>
        <w:numPr>
          <w:ilvl w:val="0"/>
          <w:numId w:val="2"/>
        </w:numPr>
        <w:spacing w:after="60" w:line="276"/>
      </w:pPr>
      <w:r>
        <w:t xml:space="preserve">Fichas técnicas PDF, proveedores, números de parte, cotas, precios y existencias (viven en interna).</w:t>
      </w:r>
    </w:p>
    <w:p>
      <w:pPr>
        <w:pStyle w:val="ListParagraph"/>
        <w:numPr>
          <w:ilvl w:val="0"/>
          <w:numId w:val="2"/>
        </w:numPr>
        <w:spacing w:after="60" w:line="276"/>
      </w:pPr>
      <w:r>
        <w:t xml:space="preserve">Solicitud de piezas por parte de clientes (vive en pedidos).</w:t>
      </w:r>
    </w:p>
    <w:p>
      <w:pPr>
        <w:pStyle w:val="ListParagraph"/>
        <w:numPr>
          <w:ilvl w:val="0"/>
          <w:numId w:val="2"/>
        </w:numPr>
        <w:spacing w:after="60" w:line="276"/>
      </w:pPr>
      <w:r>
        <w:t xml:space="preserve">Cuentas de usuario o cualquier forma de autenticación.</w:t>
      </w:r>
    </w:p>
    <w:p>
      <w:pPr>
        <w:pStyle w:val="Heading2"/>
      </w:pPr>
      <w:bookmarkStart w:name="_Toc4" w:id="4"/>
      <w:r>
        <w:t xml:space="preserve">1.3 Cómo leer este documento</w:t>
      </w:r>
      <w:bookmarkEnd w:id="4"/>
    </w:p>
    <w:p>
      <w:pPr>
        <w:spacing w:after="120" w:line="288"/>
      </w:pPr>
      <w:r>
        <w:t xml:space="preserve">Los requerimientos van de lo general a lo concreto. Cada nivel se deriva del anterior, y la columna "Deriva de" permite rastrear por qué existe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8"/>
        <w:gridCol w:w="1040"/>
        <w:gridCol w:w="3744"/>
        <w:gridCol w:w="2288"/>
      </w:tblGrid>
      <w:tr>
        <w:trPr>
          <w:tblHeader/>
        </w:trPr>
        <w:tc>
          <w:tcPr>
            <w:tcW w:type="dxa" w:w="2288"/>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Nivel</w:t>
            </w:r>
          </w:p>
        </w:tc>
        <w:tc>
          <w:tcPr>
            <w:tcW w:type="dxa" w:w="104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Prefijo</w:t>
            </w:r>
          </w:p>
        </w:tc>
        <w:tc>
          <w:tcPr>
            <w:tcW w:type="dxa" w:w="3744"/>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Responde a</w:t>
            </w:r>
          </w:p>
        </w:tc>
        <w:tc>
          <w:tcPr>
            <w:tcW w:type="dxa" w:w="2288"/>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Quién lo valida</w:t>
            </w:r>
          </w:p>
        </w:tc>
      </w:tr>
      <w:tr>
        <w:trPr>
          <w:cantSplit/>
        </w:trPr>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Alto nivel</w:t>
            </w:r>
          </w:p>
        </w:tc>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w:t>
            </w:r>
          </w:p>
        </w:tc>
        <w:tc>
          <w:tcPr>
            <w:tcW w:type="dxa" w:w="374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¿Qué necesita lograr el negocio o el usuario? No menciona tecnología.</w:t>
            </w:r>
          </w:p>
        </w:tc>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Eduardo (dirección)</w:t>
            </w:r>
          </w:p>
        </w:tc>
      </w:tr>
      <w:tr>
        <w:trPr>
          <w:cantSplit/>
        </w:trPr>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Del sistema</w:t>
            </w:r>
          </w:p>
        </w:tc>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RS</w:t>
            </w:r>
          </w:p>
        </w:tc>
        <w:tc>
          <w:tcPr>
            <w:tcW w:type="dxa" w:w="374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¿Qué debe ser el sistema como un todo: plataforma, componentes, interfaces y datos?</w:t>
            </w:r>
          </w:p>
        </w:tc>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Equipo completo</w:t>
            </w:r>
          </w:p>
        </w:tc>
      </w:tr>
      <w:tr>
        <w:trPr>
          <w:cantSplit/>
        </w:trPr>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Funcionales</w:t>
            </w:r>
          </w:p>
        </w:tc>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w:t>
            </w:r>
          </w:p>
        </w:tc>
        <w:tc>
          <w:tcPr>
            <w:tcW w:type="dxa" w:w="374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¿Qué hace el sistema? Comportamientos que el usuario puede observar.</w:t>
            </w:r>
          </w:p>
        </w:tc>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Quien lo pidió + quien lo programa</w:t>
            </w:r>
          </w:p>
        </w:tc>
      </w:tr>
      <w:tr>
        <w:trPr>
          <w:cantSplit/>
        </w:trPr>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No funcionales</w:t>
            </w:r>
          </w:p>
        </w:tc>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RNF</w:t>
            </w:r>
          </w:p>
        </w:tc>
        <w:tc>
          <w:tcPr>
            <w:tcW w:type="dxa" w:w="374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¿Qué tan bien lo hace? Seguridad, rendimiento, compatibilidad, mantenibilidad.</w:t>
            </w:r>
          </w:p>
        </w:tc>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Quien lo programa, con una prueba</w:t>
            </w:r>
          </w:p>
        </w:tc>
      </w:tr>
      <w:tr>
        <w:trPr>
          <w:cantSplit/>
        </w:trPr>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Bajo nivel</w:t>
            </w:r>
          </w:p>
        </w:tc>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RBN</w:t>
            </w:r>
          </w:p>
        </w:tc>
        <w:tc>
          <w:tcPr>
            <w:tcW w:type="dxa" w:w="374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¿Cómo se implementa? Decisiones técnicas atadas a archivos concretos del repo.</w:t>
            </w:r>
          </w:p>
        </w:tc>
        <w:tc>
          <w:tcPr>
            <w:tcW w:type="dxa" w:w="22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Quien revisa el código</w:t>
            </w:r>
          </w:p>
        </w:tc>
      </w:tr>
    </w:tbl>
    <w:p>
      <w:pPr>
        <w:spacing w:after="160"/>
      </w:pPr>
    </w:p>
    <w:p>
      <w:pPr>
        <w:spacing w:after="120" w:line="288"/>
      </w:pPr>
      <w:r>
        <w:rPr>
          <w:b/>
          <w:bCs/>
        </w:rPr>
        <w:t xml:space="preserve">Prioridad (MoSCoW): </w:t>
      </w:r>
      <w:r>
        <w:t xml:space="preserve">Debe (sin esto no se entrega), Debería (importante, no bloquea), Podría (deseable), No por ahora (fuera de esta etapa).</w:t>
      </w:r>
    </w:p>
    <w:p>
      <w:pPr>
        <w:spacing w:after="120" w:line="288"/>
      </w:pPr>
      <w:r>
        <w:rPr>
          <w:b/>
          <w:bCs/>
        </w:rPr>
        <w:t xml:space="preserve">Estado: </w:t>
      </w:r>
      <w:r>
        <w:t xml:space="preserve">Hecho (en main y desplegado), Hecho en rama (implementado sin merge a main), Parcial, Pendiente, Por definir (falta una decisión; ver sección 10).</w:t>
      </w:r>
    </w:p>
    <w:p>
      <w:pPr>
        <w:pStyle w:val="Heading2"/>
      </w:pPr>
      <w:bookmarkStart w:name="_Toc5" w:id="5"/>
      <w:r>
        <w:t xml:space="preserve">1.4 Definiciones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Término</w:t>
            </w:r>
          </w:p>
        </w:tc>
        <w:tc>
          <w:tcPr>
            <w:tcW w:type="dxa" w:w="728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Significado</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MX80</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Dron agrícola de MXD cuyo modelo se muestra en las tres apps.</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SKU</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Identificador de pieza en el catálogo (por ejemplo MX80-007).</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GLB</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Formato de modelo 3D que carga el visor. Se exporta desde Blender con compresión Draco.</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Despiece / explosión</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Vista en la que las piezas se separan siguiendo su dirección de explosión para ver cómo se ensamblan.</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Explorador in-place</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Modo del visor que descompone el brazo en sus componentes reales (giratorio, motor, balanceador, hélices, estático) sin salir de la zona.</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Recorte</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Paso que convierte una pieza completa en la versión que una app puede publicar, usando una lista de campos permitidos.</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Niveles de datos</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Público, pedidos e interno. Cada nivel contiene al anterior.</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BOM</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Lista de materiales: piezas, cantidades, números de parte y proveedores.</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Hostinger / hPanel</w:t>
            </w:r>
          </w:p>
        </w:tc>
        <w:tc>
          <w:tcPr>
            <w:tcW w:type="dxa" w:w="72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Proveedor de hosting y su panel de control, donde se configuran las variables de cada sitio.</w:t>
            </w:r>
          </w:p>
        </w:tc>
      </w:tr>
    </w:tbl>
    <w:p>
      <w:pPr>
        <w:spacing w:after="160"/>
      </w:pPr>
    </w:p>
    <w:p>
      <w:pPr>
        <w:pStyle w:val="Heading1"/>
        <w:pageBreakBefore/>
      </w:pPr>
      <w:bookmarkStart w:name="_Toc6" w:id="6"/>
      <w:r>
        <w:t xml:space="preserve">2. Descripción general</w:t>
      </w:r>
      <w:bookmarkEnd w:id="6"/>
    </w:p>
    <w:p>
      <w:pPr>
        <w:pStyle w:val="Heading2"/>
      </w:pPr>
      <w:bookmarkStart w:name="_Toc7" w:id="7"/>
      <w:r>
        <w:t xml:space="preserve">2.1 Contexto</w:t>
      </w:r>
      <w:bookmarkEnd w:id="7"/>
    </w:p>
    <w:p>
      <w:pPr>
        <w:spacing w:after="120" w:line="288"/>
      </w:pPr>
      <w:r>
        <w:t xml:space="preserve">Es una de tres apps Next.js del monorepo mxd-3d-web. Las tres muestran el mismo dron y el mismo visor a públicos distintos: la vitrina a cualquiera, interna al equipo con contraseña, pedidos a clientes que necesitan una pieza.</w:t>
      </w:r>
    </w:p>
    <w:p>
      <w:pPr>
        <w:spacing w:after="120" w:line="288"/>
      </w:pPr>
      <w:r>
        <w:t xml:space="preserve">La vitrina y la interna son dos apps separadas y no una con un interruptor porque un interruptor esconde interfaz, no datos: todo lo que recibe un componente de cliente viaja serializado en el HTML, y los chunks de JavaScript se pueden pedir por URL.</w:t>
      </w:r>
    </w:p>
    <w:p>
      <w:pPr>
        <w:spacing w:after="120" w:line="288"/>
      </w:pPr>
      <w:r>
        <w:t xml:space="preserve">Hoy la vitrina es la fuente de verdad de los assets (GLB, renders y descargas); interna los espeja.</w:t>
      </w:r>
    </w:p>
    <w:p>
      <w:pPr>
        <w:pStyle w:val="Heading2"/>
      </w:pPr>
      <w:bookmarkStart w:name="_Toc8" w:id="8"/>
      <w:r>
        <w:t xml:space="preserve">2.2 Usuarios</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rPr>
          <w:tblHeader/>
        </w:trPr>
        <w:tc>
          <w:tcPr>
            <w:tcW w:type="dxa" w:w="208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Usuario</w:t>
            </w:r>
          </w:p>
        </w:tc>
        <w:tc>
          <w:tcPr>
            <w:tcW w:type="dxa" w:w="364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Qué busca</w:t>
            </w:r>
          </w:p>
        </w:tc>
        <w:tc>
          <w:tcPr>
            <w:tcW w:type="dxa" w:w="364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Qué ve</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Cliente potencial</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Entender el dron y convencerse de su calidad.</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Visor, nombres, descripciones, renders.</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Cliente actual / técnico</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Ubicar una pieza en el dron antes de desarmarlo.</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Explorador, despiece, catálogo.</w:t>
            </w:r>
          </w:p>
        </w:tc>
      </w:tr>
      <w:tr>
        <w:trPr>
          <w:cantSplit/>
        </w:trPr>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Distribuidor o prensa</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Material visual para presentar el producto.</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Renders y visor.</w:t>
            </w:r>
          </w:p>
        </w:tc>
      </w:tr>
    </w:tbl>
    <w:p>
      <w:pPr>
        <w:spacing w:after="160"/>
      </w:pPr>
    </w:p>
    <w:p>
      <w:pPr>
        <w:pStyle w:val="Heading2"/>
      </w:pPr>
      <w:bookmarkStart w:name="_Toc9" w:id="9"/>
      <w:r>
        <w:t xml:space="preserve">2.3 Restricciones</w:t>
      </w:r>
      <w:bookmarkEnd w:id="9"/>
    </w:p>
    <w:p>
      <w:pPr>
        <w:pStyle w:val="ListParagraph"/>
        <w:numPr>
          <w:ilvl w:val="0"/>
          <w:numId w:val="2"/>
        </w:numPr>
        <w:spacing w:after="60" w:line="276"/>
      </w:pPr>
      <w:r>
        <w:t xml:space="preserve">Hosting en Hostinger Business Web Hosting. El build corre allá: Turbopack no funciona en su glibc, por eso se usa next build --webpack.</w:t>
      </w:r>
    </w:p>
    <w:p>
      <w:pPr>
        <w:pStyle w:val="ListParagraph"/>
        <w:numPr>
          <w:ilvl w:val="0"/>
          <w:numId w:val="2"/>
        </w:numPr>
        <w:spacing w:after="60" w:line="276"/>
      </w:pPr>
      <w:r>
        <w:t xml:space="preserve">La configuración va en next.config.mjs (no .ts); el binario de SWC falla en Hostinger.</w:t>
      </w:r>
    </w:p>
    <w:p>
      <w:pPr>
        <w:pStyle w:val="ListParagraph"/>
        <w:numPr>
          <w:ilvl w:val="0"/>
          <w:numId w:val="2"/>
        </w:numPr>
        <w:spacing w:after="60" w:line="276"/>
      </w:pPr>
      <w:r>
        <w:t xml:space="preserve">Sin Git LFS: Hostinger no lo soporta. Los GLB se commitean como binarios.</w:t>
      </w:r>
    </w:p>
    <w:p>
      <w:pPr>
        <w:pStyle w:val="ListParagraph"/>
        <w:numPr>
          <w:ilvl w:val="0"/>
          <w:numId w:val="2"/>
        </w:numPr>
        <w:spacing w:after="60" w:line="276"/>
      </w:pPr>
      <w:r>
        <w:t xml:space="preserve">El zip que sube a Hostinger lleva solo la carpeta de la app; no puede depender de packages/ ni de otra app.</w:t>
      </w:r>
    </w:p>
    <w:p>
      <w:pPr>
        <w:pStyle w:val="ListParagraph"/>
        <w:numPr>
          <w:ilvl w:val="0"/>
          <w:numId w:val="2"/>
        </w:numPr>
        <w:spacing w:after="60" w:line="276"/>
      </w:pPr>
      <w:r>
        <w:t xml:space="preserve">Deploy por GitHub Actions al llegar código a main. No usar el builder de Git de hPanel.</w:t>
      </w:r>
    </w:p>
    <w:p>
      <w:pPr>
        <w:pStyle w:val="ListParagraph"/>
        <w:numPr>
          <w:ilvl w:val="0"/>
          <w:numId w:val="2"/>
        </w:numPr>
        <w:spacing w:after="60" w:line="276"/>
      </w:pPr>
      <w:r>
        <w:t xml:space="preserve">Equipo de tres personas con checkpoint semanal y demo desplegada.</w:t>
      </w:r>
    </w:p>
    <w:p>
      <w:pPr>
        <w:pStyle w:val="ListParagraph"/>
        <w:numPr>
          <w:ilvl w:val="0"/>
          <w:numId w:val="2"/>
        </w:numPr>
        <w:spacing w:after="60" w:line="276"/>
      </w:pPr>
      <w:r>
        <w:t xml:space="preserve">No mencionar TopXGun en copy ni en ningún artefacto de usuario final.</w:t>
      </w:r>
    </w:p>
    <w:p>
      <w:pPr>
        <w:pStyle w:val="Heading2"/>
      </w:pPr>
      <w:bookmarkStart w:name="_Toc10" w:id="10"/>
      <w:r>
        <w:t xml:space="preserve">2.4 Supuestos y dependencias</w:t>
      </w:r>
      <w:bookmarkEnd w:id="10"/>
    </w:p>
    <w:p>
      <w:pPr>
        <w:pStyle w:val="ListParagraph"/>
        <w:numPr>
          <w:ilvl w:val="0"/>
          <w:numId w:val="2"/>
        </w:numPr>
        <w:spacing w:after="60" w:line="276"/>
      </w:pPr>
      <w:r>
        <w:t xml:space="preserve">El visitante tiene un navegador con WebGL. Si no lo tiene, el sitio debe degradar sin romperse.</w:t>
      </w:r>
    </w:p>
    <w:p>
      <w:pPr>
        <w:pStyle w:val="ListParagraph"/>
        <w:numPr>
          <w:ilvl w:val="0"/>
          <w:numId w:val="2"/>
        </w:numPr>
        <w:spacing w:after="60" w:line="276"/>
      </w:pPr>
      <w:r>
        <w:t xml:space="preserve">El catálogo se mantiene en código (src/data/mx80.ts y especificaciones-mx80.json); no hay base de datos.</w:t>
      </w:r>
    </w:p>
    <w:p>
      <w:pPr>
        <w:pStyle w:val="ListParagraph"/>
        <w:numPr>
          <w:ilvl w:val="0"/>
          <w:numId w:val="2"/>
        </w:numPr>
        <w:spacing w:after="60" w:line="276"/>
      </w:pPr>
      <w:r>
        <w:t xml:space="preserve">Los GLB los exportan Francisco y Axel desde Blender con el nombre {SKU}_v{n}.glb.</w:t>
      </w:r>
    </w:p>
    <w:p>
      <w:pPr>
        <w:pStyle w:val="Heading1"/>
        <w:pageBreakBefore/>
      </w:pPr>
      <w:bookmarkStart w:name="_Toc11" w:id="11"/>
      <w:r>
        <w:t xml:space="preserve">3. Requerimientos de alto nivel</w:t>
      </w:r>
      <w:bookmarkEnd w:id="11"/>
    </w:p>
    <w:p>
      <w:pPr>
        <w:spacing w:after="120" w:line="288"/>
      </w:pPr>
      <w:r>
        <w:t xml:space="preserve">Objetivos del negocio y del usuario. No dicen cómo se construye nada; sirven para decidir si un requerimiento de abajo vale la pena.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680"/>
        <w:gridCol w:w="3640"/>
      </w:tblGrid>
      <w:tr>
        <w:trPr>
          <w:tblHeader/>
        </w:trPr>
        <w:tc>
          <w:tcPr>
            <w:tcW w:type="dxa" w:w="104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ID</w:t>
            </w:r>
          </w:p>
        </w:tc>
        <w:tc>
          <w:tcPr>
            <w:tcW w:type="dxa" w:w="468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Requerimiento</w:t>
            </w:r>
          </w:p>
        </w:tc>
        <w:tc>
          <w:tcPr>
            <w:tcW w:type="dxa" w:w="364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Justificación</w:t>
            </w:r>
          </w:p>
        </w:tc>
      </w:tr>
      <w:tr>
        <w:trPr>
          <w:cantSplit/>
        </w:trPr>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RAN-01</w:t>
            </w:r>
          </w:p>
        </w:tc>
        <w:tc>
          <w:tcPr>
            <w:tcW w:type="dxa" w:w="46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Que cualquier visitante entienda cómo está construido el MX80 sin hablar con un vendedor.</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La vitrina es material de venta: mostrar ingeniería visible genera confianza en el producto.</w:t>
            </w:r>
          </w:p>
        </w:tc>
      </w:tr>
      <w:tr>
        <w:trPr>
          <w:cantSplit/>
        </w:trPr>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RAN-02</w:t>
            </w:r>
          </w:p>
        </w:tc>
        <w:tc>
          <w:tcPr>
            <w:tcW w:type="dxa" w:w="46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Que el visitante pueda explorar el dron por zonas y llegar a cada pieza.</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Es el diferenciador frente a un catálogo de fotos.</w:t>
            </w:r>
          </w:p>
        </w:tc>
      </w:tr>
      <w:tr>
        <w:trPr>
          <w:cantSplit/>
        </w:trPr>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RAN-03</w:t>
            </w:r>
          </w:p>
        </w:tc>
        <w:tc>
          <w:tcPr>
            <w:tcW w:type="dxa" w:w="46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Que ningún dato de ingeniería (proveedores, números de parte, cotas, precios, existencias) sea accesible desde el sitio público.</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Es información competitiva y de proveedores. Ya se filtró una vez en el HTML del explorador.</w:t>
            </w:r>
          </w:p>
        </w:tc>
      </w:tr>
      <w:tr>
        <w:trPr>
          <w:cantSplit/>
        </w:trPr>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RAN-04</w:t>
            </w:r>
          </w:p>
        </w:tc>
        <w:tc>
          <w:tcPr>
            <w:tcW w:type="dxa" w:w="46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Que el visitante que se interese pueda dar el siguiente paso: contactar a MXD o pedir una pieza.</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Un sitio de venta sin llamada a la acción no convierte visitas en clientes.</w:t>
            </w:r>
          </w:p>
        </w:tc>
      </w:tr>
      <w:tr>
        <w:trPr>
          <w:cantSplit/>
        </w:trPr>
        <w:tc>
          <w:tcPr>
            <w:tcW w:type="dxa" w:w="10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RAN-05</w:t>
            </w:r>
          </w:p>
        </w:tc>
        <w:tc>
          <w:tcPr>
            <w:tcW w:type="dxa" w:w="46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Que el equipo pueda actualizar modelos y contenido cada semana sin romper producción.</w:t>
            </w:r>
          </w:p>
        </w:tc>
        <w:tc>
          <w:tcPr>
            <w:tcW w:type="dxa" w:w="364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ritmo del proyecto es un checkpoint semanal con demo desplegada.</w:t>
            </w:r>
          </w:p>
        </w:tc>
      </w:tr>
    </w:tbl>
    <w:p>
      <w:pPr>
        <w:spacing w:after="160"/>
      </w:pPr>
    </w:p>
    <w:p>
      <w:pPr>
        <w:pStyle w:val="Heading1"/>
        <w:pageBreakBefore/>
      </w:pPr>
      <w:bookmarkStart w:name="_Toc12" w:id="12"/>
      <w:r>
        <w:t xml:space="preserve">4. Requerimientos del sistema</w:t>
      </w:r>
      <w:bookmarkEnd w:id="12"/>
    </w:p>
    <w:p>
      <w:pPr>
        <w:spacing w:after="120" w:line="288"/>
      </w:pPr>
      <w:r>
        <w:t xml:space="preserve">Lo que el sistema debe ser como un todo: plataforma, componentes, fuentes de datos e interfaces con otros sistemas.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17"/>
        <w:gridCol w:w="5697"/>
        <w:gridCol w:w="1220"/>
        <w:gridCol w:w="1426"/>
      </w:tblGrid>
      <w:tr>
        <w:trPr>
          <w:tblHeader/>
        </w:trPr>
        <w:tc>
          <w:tcPr>
            <w:tcW w:type="dxa" w:w="1017"/>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ID</w:t>
            </w:r>
          </w:p>
        </w:tc>
        <w:tc>
          <w:tcPr>
            <w:tcW w:type="dxa" w:w="5697"/>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Requerimiento</w:t>
            </w:r>
          </w:p>
        </w:tc>
        <w:tc>
          <w:tcPr>
            <w:tcW w:type="dxa" w:w="122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Deriva de</w:t>
            </w:r>
          </w:p>
        </w:tc>
        <w:tc>
          <w:tcPr>
            <w:tcW w:type="dxa" w:w="142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Estado</w:t>
            </w:r>
          </w:p>
        </w:tc>
      </w:tr>
      <w:tr>
        <w:trPr>
          <w:cantSplit/>
        </w:trPr>
        <w:tc>
          <w:tcPr>
            <w:tcW w:type="dxa" w:w="101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RS-01</w:t>
            </w:r>
          </w:p>
        </w:tc>
        <w:tc>
          <w:tcPr>
            <w:tcW w:type="dxa" w:w="569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Aplicación Next.js 16 servida desde Hostinger en mxddrone.com y desplegada por deploy-vitrina.yml al llegar código a main.</w:t>
            </w:r>
          </w:p>
        </w:tc>
        <w:tc>
          <w:tcPr>
            <w:tcW w:type="dxa" w:w="12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RAN-05</w:t>
            </w:r>
          </w:p>
        </w:tc>
        <w:tc>
          <w:tcPr>
            <w:tcW w:type="dxa" w:w="1426"/>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r>
        <w:trPr>
          <w:cantSplit/>
        </w:trPr>
        <w:tc>
          <w:tcPr>
            <w:tcW w:type="dxa" w:w="101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RS-02</w:t>
            </w:r>
          </w:p>
        </w:tc>
        <w:tc>
          <w:tcPr>
            <w:tcW w:type="dxa" w:w="569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catálogo se obtiene de un único módulo de servidor (lib/catalogo.ts) que aplica el recorte público a cada pieza.</w:t>
            </w:r>
          </w:p>
        </w:tc>
        <w:tc>
          <w:tcPr>
            <w:tcW w:type="dxa" w:w="12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RAN-03</w:t>
            </w:r>
          </w:p>
        </w:tc>
        <w:tc>
          <w:tcPr>
            <w:tcW w:type="dxa" w:w="1426"/>
            <w:tcBorders>
              <w:top w:val="single" w:color="C9D3CE" w:sz="4"/>
              <w:left w:val="single" w:color="C9D3CE" w:sz="4"/>
              <w:bottom w:val="single" w:color="C9D3CE" w:sz="4"/>
              <w:right w:val="single" w:color="C9D3CE" w:sz="4"/>
            </w:tcBorders>
            <w:shd w:fill="E6F2D9" w:color="auto" w:val="clear"/>
            <w:tcMar>
              <w:top w:type="dxa" w:w="70"/>
              <w:left w:type="dxa" w:w="110"/>
              <w:bottom w:type="dxa" w:w="70"/>
              <w:right w:type="dxa" w:w="110"/>
            </w:tcMar>
          </w:tcPr>
          <w:p>
            <w:pPr>
              <w:spacing w:after="0" w:line="252"/>
            </w:pPr>
            <w:r>
              <w:rPr>
                <w:b w:val="false"/>
                <w:bCs w:val="false"/>
                <w:sz w:val="19"/>
                <w:szCs w:val="19"/>
              </w:rPr>
              <w:t xml:space="preserve">Hecho en rama</w:t>
            </w:r>
          </w:p>
        </w:tc>
      </w:tr>
      <w:tr>
        <w:trPr>
          <w:cantSplit/>
        </w:trPr>
        <w:tc>
          <w:tcPr>
            <w:tcW w:type="dxa" w:w="101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RS-03</w:t>
            </w:r>
          </w:p>
        </w:tc>
        <w:tc>
          <w:tcPr>
            <w:tcW w:type="dxa" w:w="569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visor 3D corre en el navegador sobre WebGL (three, react-three-fiber, drei) y carga GLB comprimidos con Draco.</w:t>
            </w:r>
          </w:p>
        </w:tc>
        <w:tc>
          <w:tcPr>
            <w:tcW w:type="dxa" w:w="12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 RAN-02</w:t>
            </w:r>
          </w:p>
        </w:tc>
        <w:tc>
          <w:tcPr>
            <w:tcW w:type="dxa" w:w="1426"/>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r>
        <w:trPr>
          <w:cantSplit/>
        </w:trPr>
        <w:tc>
          <w:tcPr>
            <w:tcW w:type="dxa" w:w="101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RS-04</w:t>
            </w:r>
          </w:p>
        </w:tc>
        <w:tc>
          <w:tcPr>
            <w:tcW w:type="dxa" w:w="569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Modelos, renders y descargas se sirven como archivos estáticos desde public/, sin pasar por rutas de API.</w:t>
            </w:r>
          </w:p>
        </w:tc>
        <w:tc>
          <w:tcPr>
            <w:tcW w:type="dxa" w:w="12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RAN-05</w:t>
            </w:r>
          </w:p>
        </w:tc>
        <w:tc>
          <w:tcPr>
            <w:tcW w:type="dxa" w:w="1426"/>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r>
        <w:trPr>
          <w:cantSplit/>
        </w:trPr>
        <w:tc>
          <w:tcPr>
            <w:tcW w:type="dxa" w:w="101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RS-05</w:t>
            </w:r>
          </w:p>
        </w:tc>
        <w:tc>
          <w:tcPr>
            <w:tcW w:type="dxa" w:w="569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sistema no tiene base de datos, autenticación ni rutas que generen fichas técnicas.</w:t>
            </w:r>
          </w:p>
        </w:tc>
        <w:tc>
          <w:tcPr>
            <w:tcW w:type="dxa" w:w="12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RAN-03</w:t>
            </w:r>
          </w:p>
        </w:tc>
        <w:tc>
          <w:tcPr>
            <w:tcW w:type="dxa" w:w="1426"/>
            <w:tcBorders>
              <w:top w:val="single" w:color="C9D3CE" w:sz="4"/>
              <w:left w:val="single" w:color="C9D3CE" w:sz="4"/>
              <w:bottom w:val="single" w:color="C9D3CE" w:sz="4"/>
              <w:right w:val="single" w:color="C9D3CE" w:sz="4"/>
            </w:tcBorders>
            <w:shd w:fill="E6F2D9" w:color="auto" w:val="clear"/>
            <w:tcMar>
              <w:top w:type="dxa" w:w="70"/>
              <w:left w:type="dxa" w:w="110"/>
              <w:bottom w:type="dxa" w:w="70"/>
              <w:right w:type="dxa" w:w="110"/>
            </w:tcMar>
          </w:tcPr>
          <w:p>
            <w:pPr>
              <w:spacing w:after="0" w:line="252"/>
            </w:pPr>
            <w:r>
              <w:rPr>
                <w:b w:val="false"/>
                <w:bCs w:val="false"/>
                <w:sz w:val="19"/>
                <w:szCs w:val="19"/>
              </w:rPr>
              <w:t xml:space="preserve">Hecho en rama</w:t>
            </w:r>
          </w:p>
        </w:tc>
      </w:tr>
      <w:tr>
        <w:trPr>
          <w:cantSplit/>
        </w:trPr>
        <w:tc>
          <w:tcPr>
            <w:tcW w:type="dxa" w:w="101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RS-06</w:t>
            </w:r>
          </w:p>
        </w:tc>
        <w:tc>
          <w:tcPr>
            <w:tcW w:type="dxa" w:w="569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Interfaz con pedidos: enlace desde la vitrina hacia pedidos.mxddrone.com (o hacia un canal de contacto) cuando pedidos exista.</w:t>
            </w:r>
          </w:p>
        </w:tc>
        <w:tc>
          <w:tcPr>
            <w:tcW w:type="dxa" w:w="12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RAN-04</w:t>
            </w:r>
          </w:p>
        </w:tc>
        <w:tc>
          <w:tcPr>
            <w:tcW w:type="dxa" w:w="1426"/>
            <w:tcBorders>
              <w:top w:val="single" w:color="C9D3CE" w:sz="4"/>
              <w:left w:val="single" w:color="C9D3CE" w:sz="4"/>
              <w:bottom w:val="single" w:color="C9D3CE" w:sz="4"/>
              <w:right w:val="single" w:color="C9D3CE" w:sz="4"/>
            </w:tcBorders>
            <w:shd w:fill="DCE8F5" w:color="auto" w:val="clear"/>
            <w:tcMar>
              <w:top w:type="dxa" w:w="70"/>
              <w:left w:type="dxa" w:w="110"/>
              <w:bottom w:type="dxa" w:w="70"/>
              <w:right w:type="dxa" w:w="110"/>
            </w:tcMar>
          </w:tcPr>
          <w:p>
            <w:pPr>
              <w:spacing w:after="0" w:line="252"/>
            </w:pPr>
            <w:r>
              <w:rPr>
                <w:b w:val="false"/>
                <w:bCs w:val="false"/>
                <w:sz w:val="19"/>
                <w:szCs w:val="19"/>
              </w:rPr>
              <w:t xml:space="preserve">Por definir</w:t>
            </w:r>
          </w:p>
        </w:tc>
      </w:tr>
    </w:tbl>
    <w:p>
      <w:pPr>
        <w:spacing w:after="160"/>
      </w:pPr>
    </w:p>
    <w:p>
      <w:pPr>
        <w:pStyle w:val="Heading1"/>
        <w:pageBreakBefore/>
      </w:pPr>
      <w:bookmarkStart w:name="_Toc13" w:id="13"/>
      <w:r>
        <w:t xml:space="preserve">5. Requerimientos funcionales</w:t>
      </w:r>
      <w:bookmarkEnd w:id="13"/>
    </w:p>
    <w:p>
      <w:pPr>
        <w:spacing w:after="120" w:line="288"/>
      </w:pPr>
      <w:r>
        <w:t xml:space="preserve">Comportamientos observables. Cada uno debe poder demostrarse en el checkpoint semanal.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5"/>
        <w:gridCol w:w="5032"/>
        <w:gridCol w:w="1107"/>
        <w:gridCol w:w="1308"/>
        <w:gridCol w:w="1008"/>
      </w:tblGrid>
      <w:tr>
        <w:trPr>
          <w:tblHeader/>
        </w:trPr>
        <w:tc>
          <w:tcPr>
            <w:tcW w:type="dxa" w:w="905"/>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ID</w:t>
            </w:r>
          </w:p>
        </w:tc>
        <w:tc>
          <w:tcPr>
            <w:tcW w:type="dxa" w:w="5032"/>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Requerimiento</w:t>
            </w:r>
          </w:p>
        </w:tc>
        <w:tc>
          <w:tcPr>
            <w:tcW w:type="dxa" w:w="1107"/>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Prioridad</w:t>
            </w:r>
          </w:p>
        </w:tc>
        <w:tc>
          <w:tcPr>
            <w:tcW w:type="dxa" w:w="1308"/>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Estado</w:t>
            </w:r>
          </w:p>
        </w:tc>
        <w:tc>
          <w:tcPr>
            <w:tcW w:type="dxa" w:w="1008"/>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Deriva de</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RF-01</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La página de inicio muestra el visor del ensamble y accesos al explorador y al catálogo.</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RF-02</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visitante puede girar, acercar y desplazar el modelo con ratón y con gestos táctiles.</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RAN-02</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RF-03</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visitante puede desplegar los brazos y abrir la vista de despiece.</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 RAN-02</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RF-04</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Al tocar una pieza, el visor la aísla y muestra su nombre y descripción.</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RAN-02</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RF-05</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Explorador in-place: el brazo se descompone en giratorio, motor, balanceador, hélices y estático, y se puede aislar cada componente sin salir de la zona.</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EDEFEE" w:color="auto" w:val="clear"/>
            <w:tcMar>
              <w:top w:type="dxa" w:w="70"/>
              <w:left w:type="dxa" w:w="110"/>
              <w:bottom w:type="dxa" w:w="70"/>
              <w:right w:type="dxa" w:w="110"/>
            </w:tcMar>
          </w:tcPr>
          <w:p>
            <w:pPr>
              <w:spacing w:after="0" w:line="252"/>
            </w:pPr>
            <w:r>
              <w:rPr>
                <w:b w:val="false"/>
                <w:bCs w:val="false"/>
                <w:sz w:val="19"/>
                <w:szCs w:val="19"/>
              </w:rPr>
              <w:t xml:space="preserve">Pendiente</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RAN-02</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RF-06</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Al pasar el cursor sobre una pieza o sub-sección se resalta y se identifica.</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Debería</w:t>
            </w:r>
          </w:p>
        </w:tc>
        <w:tc>
          <w:tcPr>
            <w:tcW w:type="dxa" w:w="1308"/>
            <w:tcBorders>
              <w:top w:val="single" w:color="C9D3CE" w:sz="4"/>
              <w:left w:val="single" w:color="C9D3CE" w:sz="4"/>
              <w:bottom w:val="single" w:color="C9D3CE" w:sz="4"/>
              <w:right w:val="single" w:color="C9D3CE" w:sz="4"/>
            </w:tcBorders>
            <w:shd w:fill="FBEFD3" w:color="auto" w:val="clear"/>
            <w:tcMar>
              <w:top w:type="dxa" w:w="70"/>
              <w:left w:type="dxa" w:w="110"/>
              <w:bottom w:type="dxa" w:w="70"/>
              <w:right w:type="dxa" w:w="110"/>
            </w:tcMar>
          </w:tcPr>
          <w:p>
            <w:pPr>
              <w:spacing w:after="0" w:line="252"/>
            </w:pPr>
            <w:r>
              <w:rPr>
                <w:b w:val="false"/>
                <w:bCs w:val="false"/>
                <w:sz w:val="19"/>
                <w:szCs w:val="19"/>
              </w:rPr>
              <w:t xml:space="preserve">Parcial</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RAN-02</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RF-07</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visitante puede encender los motores en el visor (animación de hélices).</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Podría</w:t>
            </w:r>
          </w:p>
        </w:tc>
        <w:tc>
          <w:tcPr>
            <w:tcW w:type="dxa" w:w="1308"/>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RF-08</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catálogo lista las piezas agrupadas por subsistema, en orden de ensamble.</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RF-09</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Cada pieza tiene su página (/catalogo/[slug]) con nombre, descripción funcional, render y visor de la pieza.</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 RAN-02</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RF-10</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Descarga de modelos GLB y STL de cada pieza.</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Por definir</w:t>
            </w:r>
          </w:p>
        </w:tc>
        <w:tc>
          <w:tcPr>
            <w:tcW w:type="dxa" w:w="1308"/>
            <w:tcBorders>
              <w:top w:val="single" w:color="C9D3CE" w:sz="4"/>
              <w:left w:val="single" w:color="C9D3CE" w:sz="4"/>
              <w:bottom w:val="single" w:color="C9D3CE" w:sz="4"/>
              <w:right w:val="single" w:color="C9D3CE" w:sz="4"/>
            </w:tcBorders>
            <w:shd w:fill="DCE8F5" w:color="auto" w:val="clear"/>
            <w:tcMar>
              <w:top w:type="dxa" w:w="70"/>
              <w:left w:type="dxa" w:w="110"/>
              <w:bottom w:type="dxa" w:w="70"/>
              <w:right w:type="dxa" w:w="110"/>
            </w:tcMar>
          </w:tcPr>
          <w:p>
            <w:pPr>
              <w:spacing w:after="0" w:line="252"/>
            </w:pPr>
            <w:r>
              <w:rPr>
                <w:b w:val="false"/>
                <w:bCs w:val="false"/>
                <w:sz w:val="19"/>
                <w:szCs w:val="19"/>
              </w:rPr>
              <w:t xml:space="preserve">Por definir</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RF-11</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Llamada a la acción visible para contactar a MXD o pedir una pieza.</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Debería</w:t>
            </w:r>
          </w:p>
        </w:tc>
        <w:tc>
          <w:tcPr>
            <w:tcW w:type="dxa" w:w="1308"/>
            <w:tcBorders>
              <w:top w:val="single" w:color="C9D3CE" w:sz="4"/>
              <w:left w:val="single" w:color="C9D3CE" w:sz="4"/>
              <w:bottom w:val="single" w:color="C9D3CE" w:sz="4"/>
              <w:right w:val="single" w:color="C9D3CE" w:sz="4"/>
            </w:tcBorders>
            <w:shd w:fill="EDEFEE" w:color="auto" w:val="clear"/>
            <w:tcMar>
              <w:top w:type="dxa" w:w="70"/>
              <w:left w:type="dxa" w:w="110"/>
              <w:bottom w:type="dxa" w:w="70"/>
              <w:right w:type="dxa" w:w="110"/>
            </w:tcMar>
          </w:tcPr>
          <w:p>
            <w:pPr>
              <w:spacing w:after="0" w:line="252"/>
            </w:pPr>
            <w:r>
              <w:rPr>
                <w:b w:val="false"/>
                <w:bCs w:val="false"/>
                <w:sz w:val="19"/>
                <w:szCs w:val="19"/>
              </w:rPr>
              <w:t xml:space="preserve">Pendiente</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RAN-04</w:t>
            </w:r>
          </w:p>
        </w:tc>
      </w:tr>
      <w:tr>
        <w:trPr>
          <w:cantSplit/>
        </w:trPr>
        <w:tc>
          <w:tcPr>
            <w:tcW w:type="dxa" w:w="905"/>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RF-12</w:t>
            </w:r>
          </w:p>
        </w:tc>
        <w:tc>
          <w:tcPr>
            <w:tcW w:type="dxa" w:w="503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Si el modelo 3D no carga o el navegador no soporta WebGL, se muestra un mensaje y el resto de la página sigue funcionando.</w:t>
            </w:r>
          </w:p>
        </w:tc>
        <w:tc>
          <w:tcPr>
            <w:tcW w:type="dxa" w:w="1107"/>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Debe</w:t>
            </w:r>
          </w:p>
        </w:tc>
        <w:tc>
          <w:tcPr>
            <w:tcW w:type="dxa" w:w="1308"/>
            <w:tcBorders>
              <w:top w:val="single" w:color="C9D3CE" w:sz="4"/>
              <w:left w:val="single" w:color="C9D3CE" w:sz="4"/>
              <w:bottom w:val="single" w:color="C9D3CE" w:sz="4"/>
              <w:right w:val="single" w:color="C9D3CE" w:sz="4"/>
            </w:tcBorders>
            <w:shd w:fill="FBEFD3" w:color="auto" w:val="clear"/>
            <w:tcMar>
              <w:top w:type="dxa" w:w="70"/>
              <w:left w:type="dxa" w:w="110"/>
              <w:bottom w:type="dxa" w:w="70"/>
              <w:right w:type="dxa" w:w="110"/>
            </w:tcMar>
          </w:tcPr>
          <w:p>
            <w:pPr>
              <w:spacing w:after="0" w:line="252"/>
            </w:pPr>
            <w:r>
              <w:rPr>
                <w:b w:val="false"/>
                <w:bCs w:val="false"/>
                <w:sz w:val="19"/>
                <w:szCs w:val="19"/>
              </w:rPr>
              <w:t xml:space="preserve">Parcial</w:t>
            </w:r>
          </w:p>
        </w:tc>
        <w:tc>
          <w:tcPr>
            <w:tcW w:type="dxa" w:w="10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w:t>
            </w:r>
          </w:p>
        </w:tc>
      </w:tr>
    </w:tbl>
    <w:p>
      <w:pPr>
        <w:spacing w:after="160"/>
      </w:pPr>
    </w:p>
    <w:p>
      <w:pPr>
        <w:pStyle w:val="Heading1"/>
        <w:pageBreakBefore/>
      </w:pPr>
      <w:bookmarkStart w:name="_Toc14" w:id="14"/>
      <w:r>
        <w:t xml:space="preserve">6. Requerimientos no funcionales</w:t>
      </w:r>
      <w:bookmarkEnd w:id="14"/>
    </w:p>
    <w:p>
      <w:pPr>
        <w:spacing w:after="120" w:line="288"/>
      </w:pPr>
      <w:r>
        <w:t xml:space="preserve">Atributos de calidad. Un RNF sin forma de verificarse es un deseo; por eso cada uno dice cómo se comprueba.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1322"/>
        <w:gridCol w:w="3459"/>
        <w:gridCol w:w="2441"/>
        <w:gridCol w:w="1172"/>
      </w:tblGrid>
      <w:tr>
        <w:trPr>
          <w:tblHeader/>
        </w:trPr>
        <w:tc>
          <w:tcPr>
            <w:tcW w:type="dxa" w:w="96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ID</w:t>
            </w:r>
          </w:p>
        </w:tc>
        <w:tc>
          <w:tcPr>
            <w:tcW w:type="dxa" w:w="1322"/>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Categoría</w:t>
            </w:r>
          </w:p>
        </w:tc>
        <w:tc>
          <w:tcPr>
            <w:tcW w:type="dxa" w:w="3459"/>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Requerimiento</w:t>
            </w:r>
          </w:p>
        </w:tc>
        <w:tc>
          <w:tcPr>
            <w:tcW w:type="dxa" w:w="2441"/>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Cómo se verifica</w:t>
            </w:r>
          </w:p>
        </w:tc>
        <w:tc>
          <w:tcPr>
            <w:tcW w:type="dxa" w:w="1172"/>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Estado</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RNF-01</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Seguridad</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Ningún campo fuera de la lista pública aparece en lo que el navegador puede descargar.</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Prueba centinela: sembrar CENTINELA en el JSON, build, y grep en .next/static y .next/server/app debe dar cero archivos.</w:t>
            </w:r>
          </w:p>
        </w:tc>
        <w:tc>
          <w:tcPr>
            <w:tcW w:type="dxa" w:w="1172"/>
            <w:tcBorders>
              <w:top w:val="single" w:color="C9D3CE" w:sz="4"/>
              <w:left w:val="single" w:color="C9D3CE" w:sz="4"/>
              <w:bottom w:val="single" w:color="C9D3CE" w:sz="4"/>
              <w:right w:val="single" w:color="C9D3CE" w:sz="4"/>
            </w:tcBorders>
            <w:shd w:fill="E6F2D9" w:color="auto" w:val="clear"/>
            <w:tcMar>
              <w:top w:type="dxa" w:w="70"/>
              <w:left w:type="dxa" w:w="110"/>
              <w:bottom w:type="dxa" w:w="70"/>
              <w:right w:type="dxa" w:w="110"/>
            </w:tcMar>
          </w:tcPr>
          <w:p>
            <w:pPr>
              <w:spacing w:after="0" w:line="252"/>
            </w:pPr>
            <w:r>
              <w:rPr>
                <w:b w:val="false"/>
                <w:bCs w:val="false"/>
                <w:sz w:val="19"/>
                <w:szCs w:val="19"/>
              </w:rPr>
              <w:t xml:space="preserve">Hecho en rama</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RNF-02</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Seguridad</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recorte usa una lista de campos permitidos, no de excluidos: un campo nuevo queda fuera por omisión.</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Revisión de código de lib/publico.ts en cada PR que toque el esquema.</w:t>
            </w:r>
          </w:p>
        </w:tc>
        <w:tc>
          <w:tcPr>
            <w:tcW w:type="dxa" w:w="1172"/>
            <w:tcBorders>
              <w:top w:val="single" w:color="C9D3CE" w:sz="4"/>
              <w:left w:val="single" w:color="C9D3CE" w:sz="4"/>
              <w:bottom w:val="single" w:color="C9D3CE" w:sz="4"/>
              <w:right w:val="single" w:color="C9D3CE" w:sz="4"/>
            </w:tcBorders>
            <w:shd w:fill="E6F2D9" w:color="auto" w:val="clear"/>
            <w:tcMar>
              <w:top w:type="dxa" w:w="70"/>
              <w:left w:type="dxa" w:w="110"/>
              <w:bottom w:type="dxa" w:w="70"/>
              <w:right w:type="dxa" w:w="110"/>
            </w:tcMar>
          </w:tcPr>
          <w:p>
            <w:pPr>
              <w:spacing w:after="0" w:line="252"/>
            </w:pPr>
            <w:r>
              <w:rPr>
                <w:b w:val="false"/>
                <w:bCs w:val="false"/>
                <w:sz w:val="19"/>
                <w:szCs w:val="19"/>
              </w:rPr>
              <w:t xml:space="preserve">Hecho en rama</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RNF-03</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Seguridad</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Nunca se sirven archivos de fabricación (.blend, .step, .stp).</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Pedir /api/modelo/&lt;algo&gt;.step debe responder 403.</w:t>
            </w:r>
          </w:p>
        </w:tc>
        <w:tc>
          <w:tcPr>
            <w:tcW w:type="dxa" w:w="1172"/>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RNF-04</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Rendimiento</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Meta propuesta: el visor de inicio es interactivo en menos de 5 s en una conexión 4G y el GLB principal pesa menos de 10 MB.</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Lighthouse en modo móvil y pestaña Red de DevTools con limitación 4G.</w:t>
            </w:r>
          </w:p>
        </w:tc>
        <w:tc>
          <w:tcPr>
            <w:tcW w:type="dxa" w:w="1172"/>
            <w:tcBorders>
              <w:top w:val="single" w:color="C9D3CE" w:sz="4"/>
              <w:left w:val="single" w:color="C9D3CE" w:sz="4"/>
              <w:bottom w:val="single" w:color="C9D3CE" w:sz="4"/>
              <w:right w:val="single" w:color="C9D3CE" w:sz="4"/>
            </w:tcBorders>
            <w:shd w:fill="DCE8F5" w:color="auto" w:val="clear"/>
            <w:tcMar>
              <w:top w:type="dxa" w:w="70"/>
              <w:left w:type="dxa" w:w="110"/>
              <w:bottom w:type="dxa" w:w="70"/>
              <w:right w:type="dxa" w:w="110"/>
            </w:tcMar>
          </w:tcPr>
          <w:p>
            <w:pPr>
              <w:spacing w:after="0" w:line="252"/>
            </w:pPr>
            <w:r>
              <w:rPr>
                <w:b w:val="false"/>
                <w:bCs w:val="false"/>
                <w:sz w:val="19"/>
                <w:szCs w:val="19"/>
              </w:rPr>
              <w:t xml:space="preserve">Por definir</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RNF-05</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Compatibilidad</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Funciona en las dos últimas versiones de Chrome, Edge, Safari y Firefox, en escritorio y en móvil.</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Prueba manual en cada checkpoint con al menos un iPhone y un Android.</w:t>
            </w:r>
          </w:p>
        </w:tc>
        <w:tc>
          <w:tcPr>
            <w:tcW w:type="dxa" w:w="1172"/>
            <w:tcBorders>
              <w:top w:val="single" w:color="C9D3CE" w:sz="4"/>
              <w:left w:val="single" w:color="C9D3CE" w:sz="4"/>
              <w:bottom w:val="single" w:color="C9D3CE" w:sz="4"/>
              <w:right w:val="single" w:color="C9D3CE" w:sz="4"/>
            </w:tcBorders>
            <w:shd w:fill="DCE8F5" w:color="auto" w:val="clear"/>
            <w:tcMar>
              <w:top w:type="dxa" w:w="70"/>
              <w:left w:type="dxa" w:w="110"/>
              <w:bottom w:type="dxa" w:w="70"/>
              <w:right w:type="dxa" w:w="110"/>
            </w:tcMar>
          </w:tcPr>
          <w:p>
            <w:pPr>
              <w:spacing w:after="0" w:line="252"/>
            </w:pPr>
            <w:r>
              <w:rPr>
                <w:b w:val="false"/>
                <w:bCs w:val="false"/>
                <w:sz w:val="19"/>
                <w:szCs w:val="19"/>
              </w:rPr>
              <w:t xml:space="preserve">Por definir</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RNF-06</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Usabilidad</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Todo el texto está en español, sin emojis, y los controles del visor tienen etiqueta accesible.</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Revisión visual y de aria-label en ControlesVisor.tsx.</w:t>
            </w:r>
          </w:p>
        </w:tc>
        <w:tc>
          <w:tcPr>
            <w:tcW w:type="dxa" w:w="1172"/>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RNF-07</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Marca</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No se menciona TopXGun en ningún texto, metadato ni nombre de archivo público.</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grep -ri topxgun en src y public antes de cada release.</w:t>
            </w:r>
          </w:p>
        </w:tc>
        <w:tc>
          <w:tcPr>
            <w:tcW w:type="dxa" w:w="1172"/>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RNF-08</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Mantenibilidad</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Cambiar un modelo 3D requiere tocar un solo archivo de configuración.</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Un cambio de versión de GLB toca solo src/config/modelos3d.ts más el binario.</w:t>
            </w:r>
          </w:p>
        </w:tc>
        <w:tc>
          <w:tcPr>
            <w:tcW w:type="dxa" w:w="1172"/>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r>
        <w:trPr>
          <w:cantSplit/>
        </w:trPr>
        <w:tc>
          <w:tcPr>
            <w:tcW w:type="dxa" w:w="96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RNF-09</w:t>
            </w:r>
          </w:p>
        </w:tc>
        <w:tc>
          <w:tcPr>
            <w:tcW w:type="dxa" w:w="132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Despliegue</w:t>
            </w:r>
          </w:p>
        </w:tc>
        <w:tc>
          <w:tcPr>
            <w:tcW w:type="dxa" w:w="3459"/>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Un push a main no deja el sitio caído: el build se prueba en local con npm run build &amp;&amp; npm run start antes de mergear.</w:t>
            </w:r>
          </w:p>
        </w:tc>
        <w:tc>
          <w:tcPr>
            <w:tcW w:type="dxa" w:w="2441"/>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Checklist del PR.</w:t>
            </w:r>
          </w:p>
        </w:tc>
        <w:tc>
          <w:tcPr>
            <w:tcW w:type="dxa" w:w="1172"/>
            <w:tcBorders>
              <w:top w:val="single" w:color="C9D3CE" w:sz="4"/>
              <w:left w:val="single" w:color="C9D3CE" w:sz="4"/>
              <w:bottom w:val="single" w:color="C9D3CE" w:sz="4"/>
              <w:right w:val="single" w:color="C9D3CE" w:sz="4"/>
            </w:tcBorders>
            <w:shd w:fill="DDEFE3" w:color="auto" w:val="clear"/>
            <w:tcMar>
              <w:top w:type="dxa" w:w="70"/>
              <w:left w:type="dxa" w:w="110"/>
              <w:bottom w:type="dxa" w:w="70"/>
              <w:right w:type="dxa" w:w="110"/>
            </w:tcMar>
          </w:tcPr>
          <w:p>
            <w:pPr>
              <w:spacing w:after="0" w:line="252"/>
            </w:pPr>
            <w:r>
              <w:rPr>
                <w:b w:val="false"/>
                <w:bCs w:val="false"/>
                <w:sz w:val="19"/>
                <w:szCs w:val="19"/>
              </w:rPr>
              <w:t xml:space="preserve">Hecho</w:t>
            </w:r>
          </w:p>
        </w:tc>
      </w:tr>
    </w:tbl>
    <w:p>
      <w:pPr>
        <w:spacing w:after="160"/>
      </w:pPr>
    </w:p>
    <w:p>
      <w:pPr>
        <w:pStyle w:val="Heading1"/>
        <w:pageBreakBefore/>
      </w:pPr>
      <w:bookmarkStart w:name="_Toc15" w:id="15"/>
      <w:r>
        <w:t xml:space="preserve">7. Requerimientos de bajo nivel</w:t>
      </w:r>
      <w:bookmarkEnd w:id="15"/>
    </w:p>
    <w:p>
      <w:pPr>
        <w:spacing w:after="120" w:line="288"/>
      </w:pPr>
      <w:r>
        <w:t xml:space="preserve">Decisiones de implementación que hay que respetar al tocar el código. Si una de estas cambia, se actualiza aquí en el mismo commit.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88"/>
        <w:gridCol w:w="4784"/>
        <w:gridCol w:w="2496"/>
        <w:gridCol w:w="1092"/>
      </w:tblGrid>
      <w:tr>
        <w:trPr>
          <w:tblHeader/>
        </w:trPr>
        <w:tc>
          <w:tcPr>
            <w:tcW w:type="dxa" w:w="988"/>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ID</w:t>
            </w:r>
          </w:p>
        </w:tc>
        <w:tc>
          <w:tcPr>
            <w:tcW w:type="dxa" w:w="4784"/>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Especificación</w:t>
            </w:r>
          </w:p>
        </w:tc>
        <w:tc>
          <w:tcPr>
            <w:tcW w:type="dxa" w:w="249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Dónde vive</w:t>
            </w:r>
          </w:p>
        </w:tc>
        <w:tc>
          <w:tcPr>
            <w:tcW w:type="dxa" w:w="1092"/>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Deriva de</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RBN-01</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aPiezaPublica() recorta con PiezaEsquema.pick() sobre una lista explícita de campos y deja especificaciones vacías. Devuelve el tipo Pieza para no tocar el visor.</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src/lib/publico.ts</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RNF-01, RNF-02</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RBN-02</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lib/catalogo.ts es la única puerta al catálogo y aplica aPiezaPublica() a todo lo que devuelve.</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src/lib/catalogo.ts</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RS-02</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RBN-03</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Ningún componente de cliente importa lib/catalogo; recibe los datos por props desde una página de servidor.</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src/features/viewer/*</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RNF-01</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RBN-04</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La ruta de cada GLB se define solo en la configuración de modelos; los nombres siguen {SKU}_v{n}.glb.</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src/config/modelos3d.ts</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RNF-08</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RBN-05</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Las descargas se resuelven con un índice estático y la URL /downloads/&lt;SKU&gt;/&lt;SKU&gt;.&lt;formato&gt;; la interfaz solo ofrece formatos que existen.</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src/lib/descargas.ts</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RF-10</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RBN-06</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/api/modelo solo acepta .glb y rechaza rutas que salgan de contenido/piezas_MX80.</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src/app/api/modelo/[...ruta]/route.ts</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RNF-03</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RBN-07</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piezaPorSku() busca por SKU exacto y, si no hay, por grupo, para que las piezas padre tengan cámara. El revert en main quitó este respaldo; hay que conservarlo al integrar.</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src/features/viewer/registro.ts</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RF-04</w:t>
            </w:r>
          </w:p>
        </w:tc>
      </w:tr>
      <w:tr>
        <w:trPr>
          <w:cantSplit/>
        </w:trPr>
        <w:tc>
          <w:tcPr>
            <w:tcW w:type="dxa" w:w="98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RBN-08</w:t>
            </w:r>
          </w:p>
        </w:tc>
        <w:tc>
          <w:tcPr>
            <w:tcW w:type="dxa" w:w="478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Al bajar el explorador desde interna, piezaAislada cambia de string a string[] en el store, porque un componente lógico abarca varios nodos del GLB.</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src/features/viewer/estado.ts, EscenaFrame.tsx</w:t>
            </w:r>
          </w:p>
        </w:tc>
        <w:tc>
          <w:tcPr>
            <w:tcW w:type="dxa" w:w="109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RF-05</w:t>
            </w:r>
          </w:p>
        </w:tc>
      </w:tr>
    </w:tbl>
    <w:p>
      <w:pPr>
        <w:spacing w:after="160"/>
      </w:pPr>
    </w:p>
    <w:p>
      <w:pPr>
        <w:pStyle w:val="Heading1"/>
        <w:pageBreakBefore/>
      </w:pPr>
      <w:bookmarkStart w:name="_Toc16" w:id="16"/>
      <w:r>
        <w:t xml:space="preserve">8. Matriz de trazabilidad</w:t>
      </w:r>
      <w:bookmarkEnd w:id="16"/>
    </w:p>
    <w:p>
      <w:pPr>
        <w:spacing w:after="120" w:line="288"/>
      </w:pPr>
      <w:r>
        <w:t xml:space="preserve">Generada a partir de la columna "Deriva de". Un objetivo de alto nivel sin requerimientos debajo no se está atendiendo; un requerimiento que no deriva de nada debería cuestionarse.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2"/>
        <w:gridCol w:w="2080"/>
        <w:gridCol w:w="3120"/>
        <w:gridCol w:w="2808"/>
      </w:tblGrid>
      <w:tr>
        <w:trPr>
          <w:tblHeader/>
        </w:trPr>
        <w:tc>
          <w:tcPr>
            <w:tcW w:type="dxa" w:w="1352"/>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Alto nivel</w:t>
            </w:r>
          </w:p>
        </w:tc>
        <w:tc>
          <w:tcPr>
            <w:tcW w:type="dxa" w:w="208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Sistema</w:t>
            </w:r>
          </w:p>
        </w:tc>
        <w:tc>
          <w:tcPr>
            <w:tcW w:type="dxa" w:w="312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Funcionales</w:t>
            </w:r>
          </w:p>
        </w:tc>
        <w:tc>
          <w:tcPr>
            <w:tcW w:type="dxa" w:w="2808"/>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No funcionales</w:t>
            </w:r>
          </w:p>
        </w:tc>
      </w:tr>
      <w:tr>
        <w:trPr>
          <w:cantSplit/>
        </w:trPr>
        <w:tc>
          <w:tcPr>
            <w:tcW w:type="dxa" w:w="135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RAN-01</w:t>
            </w:r>
          </w:p>
        </w:tc>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RS-03</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RF-01, RF-03, RF-07, RF-08, RF-09, RF-10, RF-12</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w:t>
            </w:r>
          </w:p>
        </w:tc>
      </w:tr>
      <w:tr>
        <w:trPr>
          <w:cantSplit/>
        </w:trPr>
        <w:tc>
          <w:tcPr>
            <w:tcW w:type="dxa" w:w="135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RAN-02</w:t>
            </w:r>
          </w:p>
        </w:tc>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RS-03</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RF-02, RF-03, RF-04, RF-05, RF-06, RF-09</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w:t>
            </w:r>
          </w:p>
        </w:tc>
      </w:tr>
      <w:tr>
        <w:trPr>
          <w:cantSplit/>
        </w:trPr>
        <w:tc>
          <w:tcPr>
            <w:tcW w:type="dxa" w:w="135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RAN-03</w:t>
            </w:r>
          </w:p>
        </w:tc>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RS-02, RS-05</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w:t>
            </w:r>
          </w:p>
        </w:tc>
      </w:tr>
      <w:tr>
        <w:trPr>
          <w:cantSplit/>
        </w:trPr>
        <w:tc>
          <w:tcPr>
            <w:tcW w:type="dxa" w:w="135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RAN-04</w:t>
            </w:r>
          </w:p>
        </w:tc>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RS-06</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RF-11</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w:t>
            </w:r>
          </w:p>
        </w:tc>
      </w:tr>
      <w:tr>
        <w:trPr>
          <w:cantSplit/>
        </w:trPr>
        <w:tc>
          <w:tcPr>
            <w:tcW w:type="dxa" w:w="1352"/>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RAN-05</w:t>
            </w:r>
          </w:p>
        </w:tc>
        <w:tc>
          <w:tcPr>
            <w:tcW w:type="dxa" w:w="208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RS-01, RS-04</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w:t>
            </w:r>
          </w:p>
        </w:tc>
      </w:tr>
    </w:tbl>
    <w:p>
      <w:pPr>
        <w:spacing w:after="160"/>
      </w:pPr>
    </w:p>
    <w:p>
      <w:pPr>
        <w:pStyle w:val="Heading1"/>
        <w:pageBreakBefore/>
      </w:pPr>
      <w:bookmarkStart w:name="_Toc17" w:id="17"/>
      <w:r>
        <w:t xml:space="preserve">9. Criterios de aceptación</w:t>
      </w:r>
      <w:bookmarkEnd w:id="17"/>
    </w:p>
    <w:p>
      <w:pPr>
        <w:spacing w:after="120" w:line="288"/>
      </w:pPr>
      <w:r>
        <w:t xml:space="preserve">Formato Dado / Cuando / Entonces. Se escriben antes de programar y son la definición de "listo" para el requerimiento.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2496"/>
        <w:gridCol w:w="3120"/>
      </w:tblGrid>
      <w:tr>
        <w:trPr>
          <w:tblHeader/>
        </w:trPr>
        <w:tc>
          <w:tcPr>
            <w:tcW w:type="dxa" w:w="93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Req.</w:t>
            </w:r>
          </w:p>
        </w:tc>
        <w:tc>
          <w:tcPr>
            <w:tcW w:type="dxa" w:w="2808"/>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Dado</w:t>
            </w:r>
          </w:p>
        </w:tc>
        <w:tc>
          <w:tcPr>
            <w:tcW w:type="dxa" w:w="249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Cuando</w:t>
            </w:r>
          </w:p>
        </w:tc>
        <w:tc>
          <w:tcPr>
            <w:tcW w:type="dxa" w:w="3120"/>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Entonces</w:t>
            </w:r>
          </w:p>
        </w:tc>
      </w:tr>
      <w:tr>
        <w:trPr>
          <w:cantSplit/>
        </w:trPr>
        <w:tc>
          <w:tcPr>
            <w:tcW w:type="dxa" w:w="93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RF-04</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explorador abierto con el ensamble completo</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visitante toca un motor</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motor queda aislado, la cámara lo enfoca y se muestra su nombre; la cámara no salta a otra pieza.</w:t>
            </w:r>
          </w:p>
        </w:tc>
      </w:tr>
      <w:tr>
        <w:trPr>
          <w:cantSplit/>
        </w:trPr>
        <w:tc>
          <w:tcPr>
            <w:tcW w:type="dxa" w:w="93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RF-05</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Un brazo seleccionado en el explorador</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El visitante elige "motor"</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 aíslan juntos motor_giratorio y estático, sin salir de la zona del brazo.</w:t>
            </w:r>
          </w:p>
        </w:tc>
      </w:tr>
      <w:tr>
        <w:trPr>
          <w:cantSplit/>
        </w:trPr>
        <w:tc>
          <w:tcPr>
            <w:tcW w:type="dxa" w:w="93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RF-12</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Un navegador sin WebGL</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 abre la página de inicio</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Aparece un mensaje explicativo en lugar del visor y el catálogo sigue visible.</w:t>
            </w:r>
          </w:p>
        </w:tc>
      </w:tr>
      <w:tr>
        <w:trPr>
          <w:cantSplit/>
        </w:trPr>
        <w:tc>
          <w:tcPr>
            <w:tcW w:type="dxa" w:w="93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RNF-01</w:t>
            </w:r>
          </w:p>
        </w:tc>
        <w:tc>
          <w:tcPr>
            <w:tcW w:type="dxa" w:w="2808"/>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Un valor CENTINELA sembrado en especificaciones-mx80.json</w:t>
            </w:r>
          </w:p>
        </w:tc>
        <w:tc>
          <w:tcPr>
            <w:tcW w:type="dxa" w:w="249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 corre npm run build</w:t>
            </w:r>
          </w:p>
        </w:tc>
        <w:tc>
          <w:tcPr>
            <w:tcW w:type="dxa" w:w="3120"/>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grep -rl CENTINELA .next/static .next/server/app devuelve cero archivos.</w:t>
            </w:r>
          </w:p>
        </w:tc>
      </w:tr>
    </w:tbl>
    <w:p>
      <w:pPr>
        <w:spacing w:after="160"/>
      </w:pPr>
    </w:p>
    <w:p>
      <w:pPr>
        <w:pStyle w:val="Heading1"/>
        <w:pageBreakBefore/>
      </w:pPr>
      <w:bookmarkStart w:name="_Toc18" w:id="18"/>
      <w:r>
        <w:t xml:space="preserve">10. Preguntas abiertas</w:t>
      </w:r>
      <w:bookmarkEnd w:id="18"/>
    </w:p>
    <w:p>
      <w:pPr>
        <w:spacing w:after="120" w:line="288"/>
      </w:pPr>
      <w:r>
        <w:t xml:space="preserve">Decisiones que faltan. Mientras estén abiertas, los requerimientos que dependen de ellas quedan "Por definir".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5616"/>
        <w:gridCol w:w="1664"/>
        <w:gridCol w:w="1456"/>
      </w:tblGrid>
      <w:tr>
        <w:trPr>
          <w:tblHeader/>
        </w:trPr>
        <w:tc>
          <w:tcPr>
            <w:tcW w:type="dxa" w:w="624"/>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w:t>
            </w:r>
          </w:p>
        </w:tc>
        <w:tc>
          <w:tcPr>
            <w:tcW w:type="dxa" w:w="561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Pregunta</w:t>
            </w:r>
          </w:p>
        </w:tc>
        <w:tc>
          <w:tcPr>
            <w:tcW w:type="dxa" w:w="1664"/>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Afecta a</w:t>
            </w:r>
          </w:p>
        </w:tc>
        <w:tc>
          <w:tcPr>
            <w:tcW w:type="dxa" w:w="1456"/>
            <w:tcBorders>
              <w:top w:val="single" w:color="C9D3CE" w:sz="4"/>
              <w:left w:val="single" w:color="C9D3CE" w:sz="4"/>
              <w:bottom w:val="single" w:color="C9D3CE" w:sz="4"/>
              <w:right w:val="single" w:color="C9D3CE" w:sz="4"/>
            </w:tcBorders>
            <w:shd w:fill="1F6B45" w:color="auto" w:val="clear"/>
            <w:tcMar>
              <w:top w:type="dxa" w:w="70"/>
              <w:left w:type="dxa" w:w="110"/>
              <w:bottom w:type="dxa" w:w="70"/>
              <w:right w:type="dxa" w:w="110"/>
            </w:tcMar>
          </w:tcPr>
          <w:p>
            <w:pPr>
              <w:spacing w:after="0" w:line="252"/>
            </w:pPr>
            <w:r>
              <w:rPr>
                <w:b/>
                <w:bCs/>
                <w:color w:val="FFFFFF"/>
                <w:sz w:val="19"/>
                <w:szCs w:val="19"/>
              </w:rPr>
              <w:t xml:space="preserve">Decide</w:t>
            </w:r>
          </w:p>
        </w:tc>
      </w:tr>
      <w:tr>
        <w:trPr>
          <w:cantSplit/>
        </w:trPr>
        <w:tc>
          <w:tcPr>
            <w:tcW w:type="dxa" w:w="62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P-01</w:t>
            </w:r>
          </w:p>
        </w:tc>
        <w:tc>
          <w:tcPr>
            <w:tcW w:type="dxa" w:w="561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¿La vitrina ofrece descargas GLB/STL? Hoy las ofrece, pero CLAUDE.md pone las descargas en el nivel de pedidos, no en el público.</w:t>
            </w:r>
          </w:p>
        </w:tc>
        <w:tc>
          <w:tcPr>
            <w:tcW w:type="dxa" w:w="166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RF-10, RBN-05</w:t>
            </w:r>
          </w:p>
        </w:tc>
        <w:tc>
          <w:tcPr>
            <w:tcW w:type="dxa" w:w="145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Eduardo</w:t>
            </w:r>
          </w:p>
        </w:tc>
      </w:tr>
      <w:tr>
        <w:trPr>
          <w:cantSplit/>
        </w:trPr>
        <w:tc>
          <w:tcPr>
            <w:tcW w:type="dxa" w:w="62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P-02</w:t>
            </w:r>
          </w:p>
        </w:tc>
        <w:tc>
          <w:tcPr>
            <w:tcW w:type="dxa" w:w="561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¿Cuál es la llamada a la acción: formulario, WhatsApp, correo o enlace a pedidos?</w:t>
            </w:r>
          </w:p>
        </w:tc>
        <w:tc>
          <w:tcPr>
            <w:tcW w:type="dxa" w:w="166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RF-11, RS-06</w:t>
            </w:r>
          </w:p>
        </w:tc>
        <w:tc>
          <w:tcPr>
            <w:tcW w:type="dxa" w:w="145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Eduardo</w:t>
            </w:r>
          </w:p>
        </w:tc>
      </w:tr>
      <w:tr>
        <w:trPr>
          <w:cantSplit/>
        </w:trPr>
        <w:tc>
          <w:tcPr>
            <w:tcW w:type="dxa" w:w="62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P-03</w:t>
            </w:r>
          </w:p>
        </w:tc>
        <w:tc>
          <w:tcPr>
            <w:tcW w:type="dxa" w:w="561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¿Qué metas de rendimiento aceptamos (tiempo de carga, peso máximo de GLB)?</w:t>
            </w:r>
          </w:p>
        </w:tc>
        <w:tc>
          <w:tcPr>
            <w:tcW w:type="dxa" w:w="166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RNF-04</w:t>
            </w:r>
          </w:p>
        </w:tc>
        <w:tc>
          <w:tcPr>
            <w:tcW w:type="dxa" w:w="145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Equipo</w:t>
            </w:r>
          </w:p>
        </w:tc>
      </w:tr>
      <w:tr>
        <w:trPr>
          <w:cantSplit/>
        </w:trPr>
        <w:tc>
          <w:tcPr>
            <w:tcW w:type="dxa" w:w="62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P-04</w:t>
            </w:r>
          </w:p>
        </w:tc>
        <w:tc>
          <w:tcPr>
            <w:tcW w:type="dxa" w:w="561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¿Qué navegadores y dispositivos mínimos soportamos?</w:t>
            </w:r>
          </w:p>
        </w:tc>
        <w:tc>
          <w:tcPr>
            <w:tcW w:type="dxa" w:w="166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RNF-05</w:t>
            </w:r>
          </w:p>
        </w:tc>
        <w:tc>
          <w:tcPr>
            <w:tcW w:type="dxa" w:w="145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Equipo</w:t>
            </w:r>
          </w:p>
        </w:tc>
      </w:tr>
      <w:tr>
        <w:trPr>
          <w:cantSplit/>
        </w:trPr>
        <w:tc>
          <w:tcPr>
            <w:tcW w:type="dxa" w:w="62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P-05</w:t>
            </w:r>
          </w:p>
        </w:tc>
        <w:tc>
          <w:tcPr>
            <w:tcW w:type="dxa" w:w="561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 retiran /api/modelo y /api/descarga, que ya no usa la interfaz?</w:t>
            </w:r>
          </w:p>
        </w:tc>
        <w:tc>
          <w:tcPr>
            <w:tcW w:type="dxa" w:w="166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RBN-06</w:t>
            </w:r>
          </w:p>
        </w:tc>
        <w:tc>
          <w:tcPr>
            <w:tcW w:type="dxa" w:w="145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Axel</w:t>
            </w:r>
          </w:p>
        </w:tc>
      </w:tr>
      <w:tr>
        <w:trPr>
          <w:cantSplit/>
        </w:trPr>
        <w:tc>
          <w:tcPr>
            <w:tcW w:type="dxa" w:w="62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bCs/>
                <w:sz w:val="19"/>
                <w:szCs w:val="19"/>
              </w:rPr>
              <w:t xml:space="preserve">P-06</w:t>
            </w:r>
          </w:p>
        </w:tc>
        <w:tc>
          <w:tcPr>
            <w:tcW w:type="dxa" w:w="561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¿Se quiere analítica de visitas (qué piezas se exploran más)? Implica aviso de privacidad.</w:t>
            </w:r>
          </w:p>
        </w:tc>
        <w:tc>
          <w:tcPr>
            <w:tcW w:type="dxa" w:w="1664"/>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RAN-01</w:t>
            </w:r>
          </w:p>
        </w:tc>
        <w:tc>
          <w:tcPr>
            <w:tcW w:type="dxa" w:w="1456"/>
            <w:tcBorders>
              <w:top w:val="single" w:color="C9D3CE" w:sz="4"/>
              <w:left w:val="single" w:color="C9D3CE" w:sz="4"/>
              <w:bottom w:val="single" w:color="C9D3CE" w:sz="4"/>
              <w:right w:val="single" w:color="C9D3CE" w:sz="4"/>
            </w:tcBorders>
            <w:tcMar>
              <w:top w:type="dxa" w:w="70"/>
              <w:left w:type="dxa" w:w="110"/>
              <w:bottom w:type="dxa" w:w="70"/>
              <w:right w:type="dxa" w:w="110"/>
            </w:tcMar>
          </w:tcPr>
          <w:p>
            <w:pPr>
              <w:spacing w:after="0" w:line="252"/>
            </w:pPr>
            <w:r>
              <w:rPr>
                <w:b w:val="false"/>
                <w:bCs w:val="false"/>
                <w:sz w:val="19"/>
                <w:szCs w:val="19"/>
              </w:rPr>
              <w:t xml:space="preserve">Eduardo</w:t>
            </w:r>
          </w:p>
        </w:tc>
      </w:tr>
    </w:tbl>
    <w:p>
      <w:pPr>
        <w:spacing w:after="16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6"/>
        <w:sz w:val="16"/>
        <w:szCs w:val="16"/>
      </w:rPr>
      <w:t xml:space="preserve">Requerimientos · Vitrina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6B45"/>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230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Requerimientos — Vitrina</dc:title>
  <dc:creator>Equipo MXD</dc:creator>
  <cp:lastModifiedBy>Un-named</cp:lastModifiedBy>
  <cp:revision>1</cp:revision>
  <dcterms:created xsi:type="dcterms:W3CDTF">2026-10-13T00:23:49.196Z</dcterms:created>
  <dcterms:modified xsi:type="dcterms:W3CDTF">2026-10-13T00:23:49.196Z</dcterms:modified>
</cp:coreProperties>
</file>

<file path=docProps/custom.xml><?xml version="1.0" encoding="utf-8"?>
<Properties xmlns="http://schemas.openxmlformats.org/officeDocument/2006/custom-properties" xmlns:vt="http://schemas.openxmlformats.org/officeDocument/2006/docPropsVTypes"/>
</file>