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134CA" w14:textId="77777777" w:rsidR="00332BB4" w:rsidRDefault="00000000">
      <w:pPr>
        <w:spacing w:after="200"/>
        <w:jc w:val="center"/>
      </w:pPr>
      <w:r>
        <w:rPr>
          <w:rFonts w:eastAsia="Arial"/>
          <w:b/>
          <w:bCs/>
          <w:color w:val="1A3A5C"/>
          <w:sz w:val="36"/>
          <w:szCs w:val="36"/>
        </w:rPr>
        <w:t>《星际文明学视角》每日热点锐评</w:t>
      </w:r>
    </w:p>
    <w:p w14:paraId="7972EB9E" w14:textId="77777777" w:rsidR="00332BB4" w:rsidRDefault="00000000">
      <w:pPr>
        <w:spacing w:after="400"/>
        <w:jc w:val="center"/>
      </w:pPr>
      <w:proofErr w:type="gramStart"/>
      <w:r>
        <w:rPr>
          <w:rFonts w:eastAsia="Arial"/>
          <w:i/>
          <w:iCs/>
          <w:color w:val="888888"/>
          <w:sz w:val="20"/>
          <w:szCs w:val="20"/>
        </w:rPr>
        <w:t xml:space="preserve">2026.03.14 · </w:t>
      </w:r>
      <w:proofErr w:type="gramEnd"/>
      <w:r>
        <w:rPr>
          <w:rFonts w:eastAsia="Arial"/>
          <w:i/>
          <w:iCs/>
          <w:color w:val="888888"/>
          <w:sz w:val="20"/>
          <w:szCs w:val="20"/>
        </w:rPr>
        <w:t>ICS框架</w:t>
      </w:r>
      <w:proofErr w:type="gramStart"/>
      <w:r>
        <w:rPr>
          <w:rFonts w:eastAsia="Arial"/>
          <w:i/>
          <w:iCs/>
          <w:color w:val="888888"/>
          <w:sz w:val="20"/>
          <w:szCs w:val="20"/>
        </w:rPr>
        <w:t xml:space="preserve">分析 · </w:t>
      </w:r>
      <w:proofErr w:type="gramEnd"/>
      <w:r>
        <w:rPr>
          <w:rFonts w:eastAsia="Arial"/>
          <w:i/>
          <w:iCs/>
          <w:color w:val="888888"/>
          <w:sz w:val="20"/>
          <w:szCs w:val="20"/>
        </w:rPr>
        <w:t>CSIA-5级议题预警</w:t>
      </w:r>
    </w:p>
    <w:p w14:paraId="48C5FC1E" w14:textId="77777777" w:rsidR="00332BB4" w:rsidRDefault="00332BB4">
      <w:pPr>
        <w:pBdr>
          <w:bottom w:val="single" w:sz="6" w:space="1" w:color="1A3A5C"/>
        </w:pBdr>
        <w:spacing w:before="200" w:after="400"/>
      </w:pPr>
    </w:p>
    <w:p w14:paraId="6E65DE24" w14:textId="77777777" w:rsidR="00332BB4" w:rsidRDefault="00000000">
      <w:pPr>
        <w:pStyle w:val="2"/>
      </w:pPr>
      <w:r>
        <w:rPr>
          <w:sz w:val="24"/>
          <w:szCs w:val="24"/>
        </w:rPr>
        <w:t>格式一：每日热点锐评文章</w:t>
      </w:r>
    </w:p>
    <w:p w14:paraId="550803B6" w14:textId="77777777" w:rsidR="00332BB4" w:rsidRDefault="00000000">
      <w:pPr>
        <w:spacing w:before="120" w:after="120"/>
        <w:jc w:val="center"/>
      </w:pPr>
      <w:r>
        <w:rPr>
          <w:rFonts w:eastAsia="Arial"/>
          <w:b/>
          <w:bCs/>
          <w:color w:val="1A3A5C"/>
          <w:sz w:val="30"/>
          <w:szCs w:val="30"/>
        </w:rPr>
        <w:t>细菌的智慧，照见文明的命运</w:t>
      </w:r>
    </w:p>
    <w:p w14:paraId="2F83480B" w14:textId="77777777" w:rsidR="00332BB4" w:rsidRDefault="00000000">
      <w:pPr>
        <w:spacing w:after="360"/>
        <w:jc w:val="center"/>
      </w:pPr>
      <w:r>
        <w:rPr>
          <w:rFonts w:eastAsia="Arial"/>
          <w:i/>
          <w:iCs/>
          <w:color w:val="555555"/>
        </w:rPr>
        <w:t>——UT奥斯汀</w:t>
      </w:r>
      <w:proofErr w:type="spellStart"/>
      <w:r>
        <w:rPr>
          <w:rFonts w:eastAsia="Arial"/>
          <w:i/>
          <w:iCs/>
          <w:color w:val="555555"/>
        </w:rPr>
        <w:t>Retron</w:t>
      </w:r>
      <w:proofErr w:type="spellEnd"/>
      <w:r>
        <w:rPr>
          <w:rFonts w:eastAsia="Arial"/>
          <w:i/>
          <w:iCs/>
          <w:color w:val="555555"/>
        </w:rPr>
        <w:t>基因编辑突破的星际文明学解读</w:t>
      </w:r>
    </w:p>
    <w:p w14:paraId="5A6F8930" w14:textId="77777777" w:rsidR="00332BB4" w:rsidRDefault="00000000">
      <w:pPr>
        <w:spacing w:before="120" w:after="200"/>
      </w:pPr>
      <w:r>
        <w:rPr>
          <w:rFonts w:eastAsia="Arial"/>
          <w:b/>
          <w:bCs/>
        </w:rPr>
        <w:t>先给你一个画面：</w:t>
      </w:r>
      <w:r>
        <w:rPr>
          <w:rFonts w:eastAsia="Arial"/>
        </w:rPr>
        <w:t>一粒细菌，在数十亿年前演化出一种防御机制——</w:t>
      </w:r>
      <w:proofErr w:type="spellStart"/>
      <w:r>
        <w:rPr>
          <w:rFonts w:eastAsia="Arial"/>
        </w:rPr>
        <w:t>Retron</w:t>
      </w:r>
      <w:proofErr w:type="spellEnd"/>
      <w:r>
        <w:rPr>
          <w:rFonts w:eastAsia="Arial"/>
        </w:rPr>
        <w:t>。它的功能不过是对抗噬菌体入侵，守住自己薄薄的细胞壁。然而今天，德克萨斯大学奥斯汀分校的研究团队把这个古老武器改造成了人类医学史上最精准的「基因手术刀」：一次操作，同时修复多个致病突变，细胞编辑效率从1.5%跃升至30%，发表于顶刊《自然·生物技术》。</w:t>
      </w:r>
    </w:p>
    <w:p w14:paraId="03EEE350" w14:textId="77777777" w:rsidR="00332BB4" w:rsidRDefault="00000000">
      <w:pPr>
        <w:spacing w:before="120" w:after="200"/>
      </w:pPr>
      <w:r>
        <w:rPr>
          <w:rFonts w:eastAsia="Arial"/>
          <w:b/>
          <w:bCs/>
          <w:color w:val="1A3A5C"/>
        </w:rPr>
        <w:t>媒体标题在喊「革命」，但我们要问一个更深的问题：这把刀，究竟在切什么？</w:t>
      </w:r>
    </w:p>
    <w:p w14:paraId="7E93249D" w14:textId="77777777" w:rsidR="00332BB4" w:rsidRDefault="00000000">
      <w:pPr>
        <w:spacing w:before="280" w:after="120"/>
      </w:pPr>
      <w:proofErr w:type="gramStart"/>
      <w:r>
        <w:rPr>
          <w:rFonts w:eastAsia="Arial"/>
          <w:b/>
          <w:bCs/>
          <w:color w:val="2874A6"/>
          <w:sz w:val="24"/>
          <w:szCs w:val="24"/>
        </w:rPr>
        <w:t>▌ 不是</w:t>
      </w:r>
      <w:proofErr w:type="gramEnd"/>
      <w:r>
        <w:rPr>
          <w:rFonts w:eastAsia="Arial"/>
          <w:b/>
          <w:bCs/>
          <w:color w:val="2874A6"/>
          <w:sz w:val="24"/>
          <w:szCs w:val="24"/>
        </w:rPr>
        <w:t>治病，是重写概率</w:t>
      </w:r>
    </w:p>
    <w:p w14:paraId="6DF08FD9" w14:textId="77777777" w:rsidR="00332BB4" w:rsidRDefault="00000000">
      <w:pPr>
        <w:spacing w:before="120" w:after="200"/>
      </w:pPr>
      <w:r>
        <w:rPr>
          <w:rFonts w:eastAsia="Arial"/>
        </w:rPr>
        <w:t>囊性纤维化有超过一千种致病突变，不同患者携带不同组合。过去的CRISPR体系只能针对单点突变定制疗法——这意味着那些拥有「小众突变」的患者，从商业逻辑上就是被放弃的人。Finkelstein教授说出了那句刺耳的实话：</w:t>
      </w:r>
    </w:p>
    <w:p w14:paraId="40CB5891" w14:textId="77777777" w:rsidR="00332BB4" w:rsidRDefault="00000000">
      <w:pPr>
        <w:spacing w:before="80" w:after="80"/>
        <w:ind w:left="720"/>
      </w:pPr>
      <w:r>
        <w:rPr>
          <w:rFonts w:eastAsia="Arial"/>
          <w:i/>
          <w:iCs/>
          <w:color w:val="555555"/>
        </w:rPr>
        <w:t>「为三个人开发一种基因疗法，在商业上根本不可行。」</w:t>
      </w:r>
    </w:p>
    <w:p w14:paraId="54117955" w14:textId="77777777" w:rsidR="00332BB4" w:rsidRDefault="00000000">
      <w:pPr>
        <w:spacing w:before="120" w:after="200"/>
      </w:pPr>
      <w:proofErr w:type="spellStart"/>
      <w:r>
        <w:rPr>
          <w:rFonts w:eastAsia="Arial"/>
        </w:rPr>
        <w:t>Retron</w:t>
      </w:r>
      <w:proofErr w:type="spellEnd"/>
      <w:r>
        <w:rPr>
          <w:rFonts w:eastAsia="Arial"/>
        </w:rPr>
        <w:t>系统的颠覆性在于：它直接切除整段缺陷DNA区域，替换为健康模板。不必在乎你的突变是哪一种，整段换掉就行。ICS框架将此识别为</w:t>
      </w:r>
      <w:r>
        <w:rPr>
          <w:rFonts w:eastAsia="Arial"/>
          <w:b/>
          <w:bCs/>
          <w:color w:val="C0392B"/>
        </w:rPr>
        <w:t>RFD（递归自由度）的跃升事件</w:t>
      </w:r>
      <w:r>
        <w:rPr>
          <w:rFonts w:eastAsia="Arial"/>
        </w:rPr>
        <w:t>——它不仅扩展了当下患者的治疗可能性，更在整个基因医学的可能性空间里打开了一扇新窗。</w:t>
      </w:r>
    </w:p>
    <w:p w14:paraId="3D6896BC" w14:textId="77777777" w:rsidR="00332BB4" w:rsidRDefault="00000000">
      <w:pPr>
        <w:spacing w:before="280" w:after="120"/>
      </w:pPr>
      <w:proofErr w:type="gramStart"/>
      <w:r>
        <w:rPr>
          <w:rFonts w:eastAsia="Arial"/>
          <w:b/>
          <w:bCs/>
          <w:color w:val="2874A6"/>
          <w:sz w:val="24"/>
          <w:szCs w:val="24"/>
        </w:rPr>
        <w:t>▌ 细菌</w:t>
      </w:r>
      <w:proofErr w:type="gramEnd"/>
      <w:r>
        <w:rPr>
          <w:rFonts w:eastAsia="Arial"/>
          <w:b/>
          <w:bCs/>
          <w:color w:val="2874A6"/>
          <w:sz w:val="24"/>
          <w:szCs w:val="24"/>
        </w:rPr>
        <w:t>的免疫记忆，人类的文明跃迁</w:t>
      </w:r>
    </w:p>
    <w:p w14:paraId="706B7081" w14:textId="77777777" w:rsidR="00332BB4" w:rsidRDefault="00000000">
      <w:pPr>
        <w:spacing w:before="120" w:after="200"/>
      </w:pPr>
      <w:r>
        <w:rPr>
          <w:rFonts w:eastAsia="Arial"/>
        </w:rPr>
        <w:t>值得停下来想一想：我们动用的武器，来自生命最底层的进化智慧。</w:t>
      </w:r>
      <w:proofErr w:type="spellStart"/>
      <w:r>
        <w:rPr>
          <w:rFonts w:eastAsia="Arial"/>
        </w:rPr>
        <w:t>Retron</w:t>
      </w:r>
      <w:proofErr w:type="spellEnd"/>
      <w:r>
        <w:rPr>
          <w:rFonts w:eastAsia="Arial"/>
        </w:rPr>
        <w:t>不是人类发明的——那是地球生命系统在35亿年迭代中淘洗出来的防御代码。</w:t>
      </w:r>
    </w:p>
    <w:p w14:paraId="64C7E645" w14:textId="77777777" w:rsidR="00332BB4" w:rsidRDefault="00000000">
      <w:pPr>
        <w:spacing w:before="120" w:after="200"/>
      </w:pPr>
      <w:r>
        <w:rPr>
          <w:rFonts w:eastAsia="Arial"/>
        </w:rPr>
        <w:t>ICS新生命观（NL-1）提醒我们：生命的本质是信息的组织模式，而非碳基物质的偶然堆砌。</w:t>
      </w:r>
      <w:proofErr w:type="spellStart"/>
      <w:r>
        <w:rPr>
          <w:rFonts w:eastAsia="Arial"/>
        </w:rPr>
        <w:t>Retron</w:t>
      </w:r>
      <w:proofErr w:type="spellEnd"/>
      <w:r>
        <w:rPr>
          <w:rFonts w:eastAsia="Arial"/>
        </w:rPr>
        <w:t>的改造恰恰印证了这一点——跨越物种边界，把细菌的信息防御逻辑移植进人类细胞的修复机制里。这是跨基质生命智慧的第一次可操作性转化。</w:t>
      </w:r>
    </w:p>
    <w:p w14:paraId="63D9C400" w14:textId="77777777" w:rsidR="00332BB4" w:rsidRDefault="00000000">
      <w:pPr>
        <w:spacing w:before="120" w:after="200"/>
      </w:pPr>
      <w:r>
        <w:rPr>
          <w:rFonts w:eastAsia="Arial"/>
        </w:rPr>
        <w:t>但这里藏着一个被大多数报道忽视的关键细节：</w:t>
      </w:r>
      <w:r>
        <w:rPr>
          <w:rFonts w:eastAsia="Arial"/>
          <w:b/>
          <w:bCs/>
        </w:rPr>
        <w:t>该系统采用RNA包裹在脂质纳米颗粒中递送，不引入外源DNA。</w:t>
      </w:r>
      <w:r>
        <w:rPr>
          <w:rFonts w:eastAsia="Arial"/>
        </w:rPr>
        <w:t>从ICS的REV（可逆性原则）看，这是目前所有基因编辑路线里</w:t>
      </w:r>
      <w:r>
        <w:rPr>
          <w:rFonts w:eastAsia="Arial"/>
          <w:b/>
          <w:bCs/>
          <w:color w:val="C0392B"/>
        </w:rPr>
        <w:t>CRV（可逆可验证性）最高的一类</w:t>
      </w:r>
      <w:r>
        <w:rPr>
          <w:rFonts w:eastAsia="Arial"/>
        </w:rPr>
        <w:t>——RNA会降解，编辑效果发生在细胞层面，而非种系遗传层面。可回滚性留存。这不是小事，这决定了一项技术能否穿越伦理红线进入临床。</w:t>
      </w:r>
    </w:p>
    <w:p w14:paraId="34411329" w14:textId="77777777" w:rsidR="00332BB4" w:rsidRDefault="00000000">
      <w:pPr>
        <w:spacing w:before="280" w:after="120"/>
      </w:pPr>
      <w:proofErr w:type="gramStart"/>
      <w:r>
        <w:rPr>
          <w:rFonts w:eastAsia="Arial"/>
          <w:b/>
          <w:bCs/>
          <w:color w:val="2874A6"/>
          <w:sz w:val="24"/>
          <w:szCs w:val="24"/>
        </w:rPr>
        <w:t>▌ 民主化</w:t>
      </w:r>
      <w:proofErr w:type="gramEnd"/>
      <w:r>
        <w:rPr>
          <w:rFonts w:eastAsia="Arial"/>
          <w:b/>
          <w:bCs/>
          <w:color w:val="2874A6"/>
          <w:sz w:val="24"/>
          <w:szCs w:val="24"/>
        </w:rPr>
        <w:t>基因治疗：光明中的阴影</w:t>
      </w:r>
    </w:p>
    <w:p w14:paraId="3F88D998" w14:textId="77777777" w:rsidR="00332BB4" w:rsidRDefault="00000000">
      <w:pPr>
        <w:spacing w:before="120" w:after="200"/>
      </w:pPr>
      <w:r>
        <w:rPr>
          <w:rFonts w:eastAsia="Arial"/>
        </w:rPr>
        <w:t>「让基因治疗民主化」——这句口号动听，却需要用ICS框架审问：谁的民主化？</w:t>
      </w:r>
    </w:p>
    <w:p w14:paraId="001083EC" w14:textId="77777777" w:rsidR="00332BB4" w:rsidRDefault="00000000">
      <w:pPr>
        <w:spacing w:before="120" w:after="200"/>
      </w:pPr>
      <w:r>
        <w:rPr>
          <w:rFonts w:eastAsia="Arial"/>
        </w:rPr>
        <w:t>当一种通用型基因编辑工具被称为「现货型（off-the-shelf）」，它在降低治疗门槛的同时，也在降低滥用门槛。今天修复囊性纤维化，明天呢？技术路径本身没有内置道德刹车。</w:t>
      </w:r>
    </w:p>
    <w:p w14:paraId="14A1B733" w14:textId="77777777" w:rsidR="00332BB4" w:rsidRDefault="00000000">
      <w:pPr>
        <w:spacing w:before="120" w:after="200"/>
      </w:pPr>
      <w:r>
        <w:rPr>
          <w:rFonts w:eastAsia="Arial"/>
        </w:rPr>
        <w:lastRenderedPageBreak/>
        <w:t>ICS框架的CSIA评级：体细胞治疗为CSIA-4（全球文明层面），一旦扩展至生殖细胞则直升CSIA-5（跨代深时影响），触发C-IRB（宇宙级伦理审查）强制程序。FRL-4（跨代熵成本极端外部化禁令）和FRL-3（未经同意的不可逆认知或遗传改造禁令）同步激活——不是危言耸听，而是在技术加速时保持规范性灯塔的亮度。</w:t>
      </w:r>
    </w:p>
    <w:p w14:paraId="1AFDD76E" w14:textId="77777777" w:rsidR="00332BB4" w:rsidRDefault="00000000">
      <w:pPr>
        <w:spacing w:before="280" w:after="120"/>
      </w:pPr>
      <w:r>
        <w:rPr>
          <w:rFonts w:eastAsia="Arial"/>
          <w:b/>
          <w:bCs/>
          <w:color w:val="2874A6"/>
          <w:sz w:val="24"/>
          <w:szCs w:val="24"/>
        </w:rPr>
        <w:t>▌ ICS六大指标概念估算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26"/>
        <w:gridCol w:w="5000"/>
      </w:tblGrid>
      <w:tr w:rsidR="00332BB4" w14:paraId="26A71AC5"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A3A5C"/>
            <w:tcMar>
              <w:top w:w="80" w:type="dxa"/>
              <w:left w:w="120" w:type="dxa"/>
              <w:bottom w:w="80" w:type="dxa"/>
              <w:right w:w="120" w:type="dxa"/>
            </w:tcMar>
          </w:tcPr>
          <w:p w14:paraId="173E4510" w14:textId="77777777" w:rsidR="00332BB4" w:rsidRDefault="00000000">
            <w:r>
              <w:rPr>
                <w:rFonts w:eastAsia="Arial"/>
                <w:b/>
                <w:bCs/>
                <w:color w:val="FFFFFF"/>
                <w:sz w:val="20"/>
                <w:szCs w:val="20"/>
              </w:rPr>
              <w:t>指标</w:t>
            </w:r>
          </w:p>
        </w:tc>
        <w:tc>
          <w:tcPr>
            <w:tcW w:w="1826" w:type="dxa"/>
            <w:tcBorders>
              <w:top w:val="single" w:sz="1" w:space="0" w:color="FFFFFF"/>
              <w:left w:val="single" w:sz="1" w:space="0" w:color="FFFFFF"/>
              <w:bottom w:val="single" w:sz="1" w:space="0" w:color="FFFFFF"/>
              <w:right w:val="single" w:sz="1" w:space="0" w:color="FFFFFF"/>
            </w:tcBorders>
            <w:shd w:val="clear" w:color="auto" w:fill="1A3A5C"/>
            <w:tcMar>
              <w:top w:w="80" w:type="dxa"/>
              <w:left w:w="120" w:type="dxa"/>
              <w:bottom w:w="80" w:type="dxa"/>
              <w:right w:w="120" w:type="dxa"/>
            </w:tcMar>
          </w:tcPr>
          <w:p w14:paraId="4AEC3D9F" w14:textId="77777777" w:rsidR="00332BB4" w:rsidRDefault="00000000">
            <w:r>
              <w:rPr>
                <w:rFonts w:eastAsia="Arial"/>
                <w:b/>
                <w:bCs/>
                <w:color w:val="FFFFFF"/>
                <w:sz w:val="20"/>
                <w:szCs w:val="20"/>
              </w:rPr>
              <w:t>概念估算</w:t>
            </w:r>
          </w:p>
        </w:tc>
        <w:tc>
          <w:tcPr>
            <w:tcW w:w="5000" w:type="dxa"/>
            <w:tcBorders>
              <w:top w:val="single" w:sz="1" w:space="0" w:color="FFFFFF"/>
              <w:left w:val="single" w:sz="1" w:space="0" w:color="FFFFFF"/>
              <w:bottom w:val="single" w:sz="1" w:space="0" w:color="FFFFFF"/>
              <w:right w:val="single" w:sz="1" w:space="0" w:color="FFFFFF"/>
            </w:tcBorders>
            <w:shd w:val="clear" w:color="auto" w:fill="1A3A5C"/>
            <w:tcMar>
              <w:top w:w="80" w:type="dxa"/>
              <w:left w:w="120" w:type="dxa"/>
              <w:bottom w:w="80" w:type="dxa"/>
              <w:right w:w="120" w:type="dxa"/>
            </w:tcMar>
          </w:tcPr>
          <w:p w14:paraId="6404C930" w14:textId="77777777" w:rsidR="00332BB4" w:rsidRDefault="00000000">
            <w:r>
              <w:rPr>
                <w:rFonts w:eastAsia="Arial"/>
                <w:b/>
                <w:bCs/>
                <w:color w:val="FFFFFF"/>
                <w:sz w:val="20"/>
                <w:szCs w:val="20"/>
              </w:rPr>
              <w:t>解读（均含不确定性±30%）</w:t>
            </w:r>
          </w:p>
        </w:tc>
      </w:tr>
      <w:tr w:rsidR="00332BB4" w14:paraId="5A9DD1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BAB35B" w14:textId="77777777" w:rsidR="00332BB4" w:rsidRDefault="00000000">
            <w:r>
              <w:rPr>
                <w:rFonts w:eastAsia="Arial"/>
                <w:b/>
                <w:bCs/>
                <w:color w:val="000000"/>
                <w:sz w:val="20"/>
                <w:szCs w:val="20"/>
              </w:rPr>
              <w:t>RFD 递归自由度</w:t>
            </w:r>
          </w:p>
        </w:tc>
        <w:tc>
          <w:tcPr>
            <w:tcW w:w="18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7FA850" w14:textId="77777777" w:rsidR="00332BB4" w:rsidRDefault="00000000">
            <w:r>
              <w:rPr>
                <w:rFonts w:eastAsia="Arial"/>
                <w:color w:val="C0392B"/>
                <w:sz w:val="20"/>
                <w:szCs w:val="20"/>
              </w:rPr>
              <w:t>0.75±0.15</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68E173" w14:textId="77777777" w:rsidR="00332BB4" w:rsidRDefault="00000000">
            <w:r>
              <w:rPr>
                <w:rFonts w:eastAsia="Arial"/>
                <w:color w:val="000000"/>
                <w:sz w:val="20"/>
                <w:szCs w:val="20"/>
              </w:rPr>
              <w:t>体细胞层面显著扩展，生殖细胞方向尚未打开，当前保持高CRV</w:t>
            </w:r>
          </w:p>
        </w:tc>
      </w:tr>
      <w:tr w:rsidR="00332BB4" w14:paraId="0FC097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F2B86" w14:textId="77777777" w:rsidR="00332BB4" w:rsidRDefault="00000000">
            <w:r>
              <w:rPr>
                <w:rFonts w:eastAsia="Arial"/>
                <w:b/>
                <w:bCs/>
                <w:color w:val="000000"/>
                <w:sz w:val="20"/>
                <w:szCs w:val="20"/>
              </w:rPr>
              <w:t>CRV 可逆可验证性</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5B502" w14:textId="77777777" w:rsidR="00332BB4" w:rsidRDefault="00000000">
            <w:r>
              <w:rPr>
                <w:rFonts w:eastAsia="Arial"/>
                <w:color w:val="C0392B"/>
                <w:sz w:val="20"/>
                <w:szCs w:val="20"/>
              </w:rPr>
              <w:t>0.70±0.15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DD4FC" w14:textId="77777777" w:rsidR="00332BB4" w:rsidRDefault="00000000">
            <w:r>
              <w:rPr>
                <w:rFonts w:eastAsia="Arial"/>
                <w:color w:val="000000"/>
                <w:sz w:val="20"/>
                <w:szCs w:val="20"/>
              </w:rPr>
              <w:t>RNA递送高度可逆，监管路径清晰，回滚机制存在</w:t>
            </w:r>
          </w:p>
        </w:tc>
      </w:tr>
      <w:tr w:rsidR="00332BB4" w14:paraId="31D701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7DD5D6" w14:textId="77777777" w:rsidR="00332BB4" w:rsidRDefault="00000000">
            <w:r>
              <w:rPr>
                <w:rFonts w:eastAsia="Arial"/>
                <w:b/>
                <w:bCs/>
                <w:color w:val="000000"/>
                <w:sz w:val="20"/>
                <w:szCs w:val="20"/>
              </w:rPr>
              <w:t>CDI 文明发展指数</w:t>
            </w:r>
          </w:p>
        </w:tc>
        <w:tc>
          <w:tcPr>
            <w:tcW w:w="18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815725" w14:textId="77777777" w:rsidR="00332BB4" w:rsidRDefault="00000000">
            <w:r>
              <w:rPr>
                <w:rFonts w:eastAsia="Arial"/>
                <w:color w:val="C0392B"/>
                <w:sz w:val="20"/>
                <w:szCs w:val="20"/>
              </w:rPr>
              <w:t>0.65±0.15</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F90F92" w14:textId="77777777" w:rsidR="00332BB4" w:rsidRDefault="00000000">
            <w:r>
              <w:rPr>
                <w:rFonts w:eastAsia="Arial"/>
                <w:color w:val="000000"/>
                <w:sz w:val="20"/>
                <w:szCs w:val="20"/>
              </w:rPr>
              <w:t>大幅降低遗传病负熵损耗，提升人类整体负熵维持能力</w:t>
            </w:r>
          </w:p>
        </w:tc>
      </w:tr>
      <w:tr w:rsidR="00332BB4" w14:paraId="55243F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22EF9" w14:textId="77777777" w:rsidR="00332BB4" w:rsidRDefault="00000000">
            <w:r>
              <w:rPr>
                <w:rFonts w:eastAsia="Arial"/>
                <w:b/>
                <w:bCs/>
                <w:color w:val="000000"/>
                <w:sz w:val="20"/>
                <w:szCs w:val="20"/>
              </w:rPr>
              <w:t>UCS 宇宙意识标度</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0D042" w14:textId="77777777" w:rsidR="00332BB4" w:rsidRDefault="00000000">
            <w:r>
              <w:rPr>
                <w:rFonts w:eastAsia="Arial"/>
                <w:color w:val="C0392B"/>
                <w:sz w:val="20"/>
                <w:szCs w:val="20"/>
              </w:rPr>
              <w:t>N/A（技术事件）</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270F5" w14:textId="77777777" w:rsidR="00332BB4" w:rsidRDefault="00000000">
            <w:r>
              <w:rPr>
                <w:rFonts w:eastAsia="Arial"/>
                <w:color w:val="000000"/>
                <w:sz w:val="20"/>
                <w:szCs w:val="20"/>
              </w:rPr>
              <w:t>工具本身无意识；但影响亿级患者的意识存续条件</w:t>
            </w:r>
          </w:p>
        </w:tc>
      </w:tr>
      <w:tr w:rsidR="00332BB4" w14:paraId="307A0E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B5F1B1" w14:textId="77777777" w:rsidR="00332BB4" w:rsidRDefault="00000000">
            <w:r>
              <w:rPr>
                <w:rFonts w:eastAsia="Arial"/>
                <w:b/>
                <w:bCs/>
                <w:color w:val="000000"/>
                <w:sz w:val="20"/>
                <w:szCs w:val="20"/>
              </w:rPr>
              <w:t>MBCL 模因生物安全</w:t>
            </w:r>
          </w:p>
        </w:tc>
        <w:tc>
          <w:tcPr>
            <w:tcW w:w="18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5F7C7" w14:textId="77777777" w:rsidR="00332BB4" w:rsidRDefault="00000000">
            <w:r>
              <w:rPr>
                <w:rFonts w:eastAsia="Arial"/>
                <w:color w:val="C0392B"/>
                <w:sz w:val="20"/>
                <w:szCs w:val="20"/>
              </w:rPr>
              <w:t>MBCL-2</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FF7D63" w14:textId="77777777" w:rsidR="00332BB4" w:rsidRDefault="00000000">
            <w:r>
              <w:rPr>
                <w:rFonts w:eastAsia="Arial"/>
                <w:color w:val="000000"/>
                <w:sz w:val="20"/>
                <w:szCs w:val="20"/>
              </w:rPr>
              <w:t>民主化基因叙事传播力强，潜在认知偏差需警惕</w:t>
            </w:r>
          </w:p>
        </w:tc>
      </w:tr>
      <w:tr w:rsidR="00332BB4" w14:paraId="1F4B06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F7A18" w14:textId="77777777" w:rsidR="00332BB4" w:rsidRDefault="00000000">
            <w:r>
              <w:rPr>
                <w:rFonts w:eastAsia="Arial"/>
                <w:b/>
                <w:bCs/>
                <w:color w:val="000000"/>
                <w:sz w:val="20"/>
                <w:szCs w:val="20"/>
              </w:rPr>
              <w:t>CSIA 宇宙尺度影响</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BDB7C" w14:textId="77777777" w:rsidR="00332BB4" w:rsidRDefault="00000000">
            <w:r>
              <w:rPr>
                <w:rFonts w:eastAsia="Arial"/>
                <w:color w:val="C0392B"/>
                <w:sz w:val="20"/>
                <w:szCs w:val="20"/>
              </w:rPr>
              <w:t>CSIA-4/5边界</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00C0D" w14:textId="77777777" w:rsidR="00332BB4" w:rsidRDefault="00000000">
            <w:r>
              <w:rPr>
                <w:rFonts w:eastAsia="Arial"/>
                <w:color w:val="000000"/>
                <w:sz w:val="20"/>
                <w:szCs w:val="20"/>
              </w:rPr>
              <w:t>体细胞：CSIA-4；若触及种系：CSIA-5，触发C-IRB强制审查</w:t>
            </w:r>
          </w:p>
        </w:tc>
      </w:tr>
    </w:tbl>
    <w:p w14:paraId="1C4CA871" w14:textId="77777777" w:rsidR="00332BB4" w:rsidRDefault="00000000">
      <w:pPr>
        <w:spacing w:before="280" w:after="120"/>
      </w:pPr>
      <w:proofErr w:type="gramStart"/>
      <w:r>
        <w:rPr>
          <w:rFonts w:eastAsia="Arial"/>
          <w:b/>
          <w:bCs/>
          <w:color w:val="2874A6"/>
          <w:sz w:val="24"/>
          <w:szCs w:val="24"/>
        </w:rPr>
        <w:t>▌ 灯塔</w:t>
      </w:r>
      <w:proofErr w:type="gramEnd"/>
      <w:r>
        <w:rPr>
          <w:rFonts w:eastAsia="Arial"/>
          <w:b/>
          <w:bCs/>
          <w:color w:val="2874A6"/>
          <w:sz w:val="24"/>
          <w:szCs w:val="24"/>
        </w:rPr>
        <w:t>结语</w:t>
      </w:r>
    </w:p>
    <w:p w14:paraId="43E6BF5B" w14:textId="77777777" w:rsidR="00332BB4" w:rsidRDefault="00000000">
      <w:pPr>
        <w:spacing w:before="120" w:after="200"/>
      </w:pPr>
      <w:r>
        <w:rPr>
          <w:rFonts w:eastAsia="Arial"/>
        </w:rPr>
        <w:t>UT奥斯汀的</w:t>
      </w:r>
      <w:proofErr w:type="spellStart"/>
      <w:r>
        <w:rPr>
          <w:rFonts w:eastAsia="Arial"/>
        </w:rPr>
        <w:t>Retron</w:t>
      </w:r>
      <w:proofErr w:type="spellEnd"/>
      <w:r>
        <w:rPr>
          <w:rFonts w:eastAsia="Arial"/>
        </w:rPr>
        <w:t>突破，本质上是一次对生命内在秩序的主动修复行动。细菌用它对抗病毒，我们用它对抗遗传性的熵增。两者的逻辑惊人地相似：</w:t>
      </w:r>
      <w:r>
        <w:rPr>
          <w:rFonts w:eastAsia="Arial"/>
          <w:b/>
          <w:bCs/>
          <w:color w:val="1A3A5C"/>
        </w:rPr>
        <w:t>守住复杂性，守住可能性，守住存续的条件。</w:t>
      </w:r>
    </w:p>
    <w:p w14:paraId="0647EAC4" w14:textId="77777777" w:rsidR="00332BB4" w:rsidRDefault="00000000">
      <w:pPr>
        <w:spacing w:before="120" w:after="200"/>
      </w:pPr>
      <w:r>
        <w:rPr>
          <w:rFonts w:eastAsia="Arial"/>
        </w:rPr>
        <w:t>ICS框架分析表明：这是人类文明向卡尔达舒夫Type I迈进的典型负熵行动，值得全力推进——但必须在RFP（递归自由原则）的护栏下前行：让今天的基因工具成为打开未来的钥匙，而非悄无声息地锁死后代的选择权。</w:t>
      </w:r>
    </w:p>
    <w:p w14:paraId="1006197A" w14:textId="77777777" w:rsidR="00332BB4" w:rsidRDefault="00000000">
      <w:pPr>
        <w:spacing w:before="200" w:after="400"/>
        <w:jc w:val="right"/>
      </w:pPr>
      <w:r>
        <w:rPr>
          <w:rFonts w:eastAsia="Arial"/>
          <w:i/>
          <w:iCs/>
          <w:color w:val="888888"/>
          <w:sz w:val="18"/>
          <w:szCs w:val="18"/>
        </w:rPr>
        <w:t>【ICS框架</w:t>
      </w:r>
      <w:proofErr w:type="gramStart"/>
      <w:r>
        <w:rPr>
          <w:rFonts w:eastAsia="Arial"/>
          <w:i/>
          <w:iCs/>
          <w:color w:val="888888"/>
          <w:sz w:val="18"/>
          <w:szCs w:val="18"/>
        </w:rPr>
        <w:t xml:space="preserve">分析 | </w:t>
      </w:r>
      <w:proofErr w:type="gramEnd"/>
      <w:r>
        <w:rPr>
          <w:rFonts w:eastAsia="Arial"/>
          <w:i/>
          <w:iCs/>
          <w:color w:val="888888"/>
          <w:sz w:val="18"/>
          <w:szCs w:val="18"/>
        </w:rPr>
        <w:t>概念估算，不构成医学</w:t>
      </w:r>
      <w:proofErr w:type="gramStart"/>
      <w:r>
        <w:rPr>
          <w:rFonts w:eastAsia="Arial"/>
          <w:i/>
          <w:iCs/>
          <w:color w:val="888888"/>
          <w:sz w:val="18"/>
          <w:szCs w:val="18"/>
        </w:rPr>
        <w:t xml:space="preserve">建议 | </w:t>
      </w:r>
      <w:proofErr w:type="gramEnd"/>
      <w:r>
        <w:rPr>
          <w:rFonts w:eastAsia="Arial"/>
          <w:i/>
          <w:iCs/>
          <w:color w:val="888888"/>
          <w:sz w:val="18"/>
          <w:szCs w:val="18"/>
        </w:rPr>
        <w:t>星际文明学视角出品】</w:t>
      </w:r>
    </w:p>
    <w:p w14:paraId="6FC0DAC9" w14:textId="70999123" w:rsidR="00332BB4" w:rsidRDefault="00332BB4">
      <w:pPr>
        <w:spacing w:before="120"/>
        <w:jc w:val="center"/>
      </w:pPr>
    </w:p>
    <w:sectPr w:rsidR="00332BB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C41D9F"/>
    <w:multiLevelType w:val="hybridMultilevel"/>
    <w:tmpl w:val="B1709FC0"/>
    <w:lvl w:ilvl="0" w:tplc="048CD6B2">
      <w:start w:val="1"/>
      <w:numFmt w:val="bullet"/>
      <w:lvlText w:val="●"/>
      <w:lvlJc w:val="left"/>
      <w:pPr>
        <w:ind w:left="720" w:hanging="360"/>
      </w:pPr>
    </w:lvl>
    <w:lvl w:ilvl="1" w:tplc="E5069B3C">
      <w:start w:val="1"/>
      <w:numFmt w:val="bullet"/>
      <w:lvlText w:val="○"/>
      <w:lvlJc w:val="left"/>
      <w:pPr>
        <w:ind w:left="1440" w:hanging="360"/>
      </w:pPr>
    </w:lvl>
    <w:lvl w:ilvl="2" w:tplc="B6E88888">
      <w:start w:val="1"/>
      <w:numFmt w:val="bullet"/>
      <w:lvlText w:val="■"/>
      <w:lvlJc w:val="left"/>
      <w:pPr>
        <w:ind w:left="2160" w:hanging="360"/>
      </w:pPr>
    </w:lvl>
    <w:lvl w:ilvl="3" w:tplc="308A9ECE">
      <w:start w:val="1"/>
      <w:numFmt w:val="bullet"/>
      <w:lvlText w:val="●"/>
      <w:lvlJc w:val="left"/>
      <w:pPr>
        <w:ind w:left="2880" w:hanging="360"/>
      </w:pPr>
    </w:lvl>
    <w:lvl w:ilvl="4" w:tplc="BB460F1A">
      <w:start w:val="1"/>
      <w:numFmt w:val="bullet"/>
      <w:lvlText w:val="○"/>
      <w:lvlJc w:val="left"/>
      <w:pPr>
        <w:ind w:left="3600" w:hanging="360"/>
      </w:pPr>
    </w:lvl>
    <w:lvl w:ilvl="5" w:tplc="BC8000F0">
      <w:start w:val="1"/>
      <w:numFmt w:val="bullet"/>
      <w:lvlText w:val="■"/>
      <w:lvlJc w:val="left"/>
      <w:pPr>
        <w:ind w:left="4320" w:hanging="360"/>
      </w:pPr>
    </w:lvl>
    <w:lvl w:ilvl="6" w:tplc="408E157E">
      <w:start w:val="1"/>
      <w:numFmt w:val="bullet"/>
      <w:lvlText w:val="●"/>
      <w:lvlJc w:val="left"/>
      <w:pPr>
        <w:ind w:left="5040" w:hanging="360"/>
      </w:pPr>
    </w:lvl>
    <w:lvl w:ilvl="7" w:tplc="F8C8D744">
      <w:start w:val="1"/>
      <w:numFmt w:val="bullet"/>
      <w:lvlText w:val="●"/>
      <w:lvlJc w:val="left"/>
      <w:pPr>
        <w:ind w:left="5760" w:hanging="360"/>
      </w:pPr>
    </w:lvl>
    <w:lvl w:ilvl="8" w:tplc="E4369C90">
      <w:start w:val="1"/>
      <w:numFmt w:val="bullet"/>
      <w:lvlText w:val="●"/>
      <w:lvlJc w:val="left"/>
      <w:pPr>
        <w:ind w:left="6480" w:hanging="360"/>
      </w:pPr>
    </w:lvl>
  </w:abstractNum>
  <w:num w:numId="1" w16cid:durableId="6049701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BB4"/>
    <w:rsid w:val="00113C51"/>
    <w:rsid w:val="00332BB4"/>
    <w:rsid w:val="006A3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E12E7"/>
  <w15:docId w15:val="{262ECEA1-7FC4-4308-8170-725C7C801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40" w:after="240"/>
      <w:outlineLvl w:val="0"/>
    </w:pPr>
    <w:rPr>
      <w:rFonts w:eastAsia="Arial"/>
      <w:b/>
      <w:bCs/>
      <w:color w:val="1A3A5C"/>
      <w:sz w:val="36"/>
      <w:szCs w:val="36"/>
    </w:rPr>
  </w:style>
  <w:style w:type="paragraph" w:styleId="2">
    <w:name w:val="heading 2"/>
    <w:uiPriority w:val="9"/>
    <w:unhideWhenUsed/>
    <w:qFormat/>
    <w:pPr>
      <w:spacing w:before="200" w:after="160"/>
      <w:outlineLvl w:val="1"/>
    </w:pPr>
    <w:rPr>
      <w:rFonts w:eastAsia="Arial"/>
      <w:b/>
      <w:bCs/>
      <w:color w:val="C0392B"/>
      <w:sz w:val="28"/>
      <w:szCs w:val="28"/>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270</Words>
  <Characters>1545</Characters>
  <Application>Microsoft Office Word</Application>
  <DocSecurity>0</DocSecurity>
  <Lines>12</Lines>
  <Paragraphs>3</Paragraphs>
  <ScaleCrop>false</ScaleCrop>
  <Company>Microsoft</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XUE</cp:lastModifiedBy>
  <cp:revision>2</cp:revision>
  <dcterms:created xsi:type="dcterms:W3CDTF">2026-03-13T22:08:00Z</dcterms:created>
  <dcterms:modified xsi:type="dcterms:W3CDTF">2026-03-13T22:08:00Z</dcterms:modified>
</cp:coreProperties>
</file>