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52000" cy="116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mula-icon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6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VAMULÁ</w:t>
      </w:r>
    </w:p>
    <w:p>
      <w:pPr>
        <w:pBdr>
          <w:bottom w:val="single" w:sz="4" w:space="1" w:color="0B4F6C"/>
        </w:pBdr>
      </w:pPr>
    </w:p>
    <w:p>
      <w:pPr>
        <w:pStyle w:val="MetadataLabel"/>
      </w:pPr>
      <w:r>
        <w:t>Dossier de consulta externa</w:t>
      </w:r>
    </w:p>
    <w:p>
      <w:pPr>
        <w:pStyle w:val="Title"/>
      </w:pPr>
      <w:r>
        <w:t>Título demonstrativo do dossier</w:t>
      </w:r>
    </w:p>
    <w:p>
      <w:pPr>
        <w:pStyle w:val="Subtitle"/>
      </w:pPr>
      <w:r>
        <w:t>Objectivo em uma linha — texto de exemplo, sem dados reais.</w:t>
      </w:r>
    </w:p>
    <w:p>
      <w:pPr>
        <w:pStyle w:val="MetadataLabel"/>
      </w:pPr>
      <w:r>
        <w:t>Destinatário</w:t>
      </w:r>
    </w:p>
    <w:p>
      <w:pPr>
        <w:pStyle w:val="MetadataValue"/>
      </w:pPr>
      <w:r>
        <w:t>Advogado</w:t>
      </w:r>
    </w:p>
    <w:p>
      <w:pPr>
        <w:pStyle w:val="MetadataLabel"/>
      </w:pPr>
      <w:r>
        <w:t>Audiência</w:t>
      </w:r>
    </w:p>
    <w:p>
      <w:pPr>
        <w:pStyle w:val="MetadataValue"/>
      </w:pPr>
      <w:r>
        <w:t>Consulta jurídica TVDE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EF3F6" w:val="clear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b/>
                <w:color w:val="5C6B78"/>
                <w:sz w:val="20"/>
              </w:rPr>
              <w:t>Document ID</w:t>
            </w:r>
          </w:p>
        </w:tc>
        <w:tc>
          <w:tcPr>
            <w:tcW w:type="dxa" w:w="4536"/>
            <w:shd w:fill="EEF3F6" w:val="clear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color w:val="14212B"/>
                <w:sz w:val="20"/>
              </w:rPr>
              <w:t>EXT-YYYY-MM-DD-EXAMPLE</w:t>
            </w:r>
          </w:p>
        </w:tc>
      </w:tr>
      <w:tr>
        <w:tc>
          <w:tcPr>
            <w:tcW w:type="dxa" w:w="4536"/>
            <w:shd w:fill="FFFFFF" w:val="clear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b/>
                <w:color w:val="5C6B78"/>
                <w:sz w:val="20"/>
              </w:rPr>
              <w:t>Versão</w:t>
            </w:r>
          </w:p>
        </w:tc>
        <w:tc>
          <w:tcPr>
            <w:tcW w:type="dxa" w:w="4536"/>
            <w:shd w:fill="FFFFFF" w:val="clear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color w:val="14212B"/>
                <w:sz w:val="20"/>
              </w:rPr>
              <w:t>v0.1</w:t>
            </w:r>
          </w:p>
        </w:tc>
      </w:tr>
      <w:tr>
        <w:tc>
          <w:tcPr>
            <w:tcW w:type="dxa" w:w="4536"/>
            <w:shd w:fill="FFFFFF" w:val="clear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b/>
                <w:color w:val="5C6B78"/>
                <w:sz w:val="20"/>
              </w:rPr>
              <w:t>Data</w:t>
            </w:r>
          </w:p>
        </w:tc>
        <w:tc>
          <w:tcPr>
            <w:tcW w:type="dxa" w:w="4536"/>
            <w:shd w:fill="FFFFFF" w:val="clear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color w:val="14212B"/>
                <w:sz w:val="20"/>
              </w:rPr>
              <w:t>YYYY-MM-DD</w:t>
            </w:r>
          </w:p>
        </w:tc>
      </w:tr>
      <w:tr>
        <w:tc>
          <w:tcPr>
            <w:tcW w:type="dxa" w:w="4536"/>
            <w:shd w:fill="FFFFFF" w:val="clear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b/>
                <w:color w:val="5C6B78"/>
                <w:sz w:val="20"/>
              </w:rPr>
              <w:t>Classificação</w:t>
            </w:r>
          </w:p>
        </w:tc>
        <w:tc>
          <w:tcPr>
            <w:tcW w:type="dxa" w:w="4536"/>
            <w:shd w:fill="FFFFFF" w:val="clear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color w:val="14212B"/>
                <w:sz w:val="20"/>
              </w:rPr>
              <w:t>EXTERNAL-CONFIDENTIAL</w:t>
            </w:r>
          </w:p>
        </w:tc>
      </w:tr>
    </w:tbl>
    <w:p>
      <w:pPr>
        <w:pStyle w:val="Caption"/>
      </w:pPr>
      <w:r>
        <w:t>Ventos Férteis, Lda. · vamula.pt</w:t>
      </w:r>
    </w:p>
    <w:p>
      <w:r>
        <w:br w:type="page"/>
      </w:r>
    </w:p>
    <w:p>
      <w:pPr>
        <w:pStyle w:val="Heading1"/>
      </w:pPr>
      <w:r>
        <w:t>Galeria de estilos (referência)</w:t>
      </w:r>
    </w:p>
    <w:p>
      <w:pPr>
        <w:pStyle w:val="Heading2"/>
      </w:pPr>
      <w:r>
        <w:t>Secção de exemplo</w:t>
      </w:r>
    </w:p>
    <w:p>
      <w:pPr>
        <w:pStyle w:val="Heading3"/>
      </w:pPr>
      <w:r>
        <w:t>Subsecção</w:t>
      </w:r>
    </w:p>
    <w:p>
      <w:pPr>
        <w:pStyle w:val="BodyText"/>
      </w:pPr>
      <w:r>
        <w:t>Corpo de texto demonstrativo. Legível a preto e branco; cor de marca apenas em títulos e linhas finas.</w:t>
      </w:r>
    </w:p>
    <w:p>
      <w:pPr>
        <w:pStyle w:val="Heading3"/>
      </w:pPr>
      <w:r>
        <w:t>Tabela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b/>
                <w:color w:val="14212B"/>
                <w:sz w:val="20"/>
              </w:rPr>
              <w:t>ID</w:t>
            </w:r>
          </w:p>
        </w:tc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b/>
                <w:color w:val="14212B"/>
                <w:sz w:val="20"/>
              </w:rPr>
              <w:t>Resumo</w:t>
            </w:r>
          </w:p>
        </w:tc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rPr>
                <w:rFonts w:ascii="Plus Jakarta Sans" w:hAnsi="Plus Jakarta Sans" w:cs="Plus Jakarta Sans" w:eastAsia="Plus Jakarta Sans"/>
                <w:b/>
                <w:color w:val="14212B"/>
                <w:sz w:val="20"/>
              </w:rPr>
              <w:t>Estado</w:t>
            </w:r>
          </w:p>
        </w:tc>
      </w:tr>
      <w:tr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t>DEC-LEG-004</w:t>
            </w:r>
          </w:p>
        </w:tc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t>Exemplo de decisão referenciada.</w:t>
            </w:r>
          </w:p>
        </w:tc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t>ACTIVO</w:t>
            </w:r>
          </w:p>
        </w:tc>
      </w:tr>
      <w:tr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t>FIND-LEG-IMT-01</w:t>
            </w:r>
          </w:p>
        </w:tc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t>Exemplo de finding.</w:t>
            </w:r>
          </w:p>
        </w:tc>
        <w:tc>
          <w:tcPr>
            <w:tcW w:type="dxa" w:w="3024"/>
            <w:tcBorders>
              <w:top w:val="single" w:sz="4" w:color="E0E4E8"/>
              <w:left w:val="single" w:sz="4" w:color="E0E4E8"/>
              <w:bottom w:val="single" w:sz="4" w:color="E0E4E8"/>
              <w:right w:val="single" w:sz="4" w:color="E0E4E8"/>
            </w:tcBorders>
          </w:tcPr>
          <w:p>
            <w:r>
              <w:t>ABERTO</w:t>
            </w:r>
          </w:p>
        </w:tc>
      </w:tr>
    </w:tbl>
    <w:p>
      <w:pPr>
        <w:pStyle w:val="DecisionRef"/>
      </w:pPr>
      <w:r>
        <w:t>DEC-LEG-004 — Contratos versionados (resumo)</w:t>
      </w:r>
    </w:p>
    <w:p>
      <w:pPr>
        <w:pStyle w:val="FindingRef"/>
      </w:pPr>
      <w:r>
        <w:t>FIND-LEG-IMT-01 — Validação IMT (resumo)</w:t>
      </w:r>
    </w:p>
    <w:p>
      <w:pPr>
        <w:pStyle w:val="Q-EXTID"/>
      </w:pPr>
      <w:r>
        <w:t>Q-EXT-LEG-001</w:t>
      </w:r>
    </w:p>
    <w:p>
      <w:pPr>
        <w:pStyle w:val="Q-EXTLabel"/>
      </w:pPr>
      <w:r>
        <w:t>Pergunta</w:t>
      </w:r>
    </w:p>
    <w:p>
      <w:pPr>
        <w:pStyle w:val="BodyText"/>
      </w:pPr>
      <w:r>
        <w:t>Texto da pergunta de exemplo.</w:t>
      </w:r>
    </w:p>
    <w:p>
      <w:pPr>
        <w:pStyle w:val="MetadataValue"/>
      </w:pPr>
      <w:r>
        <w:t>Prioridade: P0</w:t>
      </w:r>
    </w:p>
    <w:p>
      <w:pPr>
        <w:pStyle w:val="Q-EXTAnswer"/>
      </w:pPr>
      <w:r>
        <w:t>(Secção «Resposta do destinatário» opcional — omitir em dossiers só de consulta.)</w:t>
      </w:r>
    </w:p>
    <w:p>
      <w:pPr>
        <w:pStyle w:val="CalloutNote"/>
      </w:pPr>
      <w:r>
        <w:t>NOTA — Contexto neutro para o destinatário.</w:t>
      </w:r>
    </w:p>
    <w:p>
      <w:pPr>
        <w:pStyle w:val="CalloutImportant"/>
      </w:pPr>
      <w:r>
        <w:t>IMPORTANTE — Prazo ou dependência crítica.</w:t>
      </w:r>
    </w:p>
    <w:p>
      <w:pPr>
        <w:pStyle w:val="CalloutWarning"/>
      </w:pPr>
      <w:r>
        <w:t>ATENÇÃO — Risco se não houver resposta.</w:t>
      </w:r>
    </w:p>
    <w:p>
      <w:pPr>
        <w:pStyle w:val="CalloutConfidential"/>
      </w:pPr>
      <w:r>
        <w:t>CONFIDENCIAL — Bloco com dados sensíveis.</w:t>
      </w:r>
    </w:p>
    <w:p>
      <w:r>
        <w:br w:type="page"/>
      </w:r>
    </w:p>
    <w:p>
      <w:pPr>
        <w:pStyle w:val="AnnexTitle"/>
      </w:pPr>
      <w:r>
        <w:t>Anexo A1 — Diagrama de fluxo (exemplo)</w:t>
      </w:r>
    </w:p>
    <w:p>
      <w:pPr>
        <w:pStyle w:val="Caption"/>
      </w:pPr>
      <w:r>
        <w:t>Fonte: documentação interna (referência)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13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E0E4E8"/>
      </w:pBdr>
    </w:pPr>
    <w:r>
      <w:rPr>
        <w:rFonts w:ascii="Plus Jakarta Sans" w:hAnsi="Plus Jakarta Sans" w:cs="Plus Jakarta Sans" w:eastAsia="Plus Jakarta Sans"/>
        <w:color w:val="5C6B78"/>
        <w:sz w:val="16"/>
      </w:rPr>
      <w:t>EXT-YYYY-MM-DD-EXAMPLE · v0.1 · EXTERNAL-CONFIDENTIAL</w:t>
    </w:r>
  </w:p>
  <w:p>
    <w:pPr>
      <w:jc w:val="center"/>
    </w:pPr>
    <w:r>
      <w:rPr>
        <w:rFonts w:ascii="Plus Jakarta Sans" w:hAnsi="Plus Jakarta Sans" w:cs="Plus Jakarta Sans" w:eastAsia="Plus Jakarta Sans"/>
        <w:color w:val="5C6B78"/>
        <w:sz w:val="16"/>
      </w:rPr>
      <w:t xml:space="preserve">Página </w:t>
    </w:r>
    <w:r>
      <w:rPr>
        <w:rFonts w:ascii="Plus Jakarta Sans" w:hAnsi="Plus Jakarta Sans" w:cs="Plus Jakarta Sans" w:eastAsia="Plus Jakarta Sans"/>
        <w:color w:val="5C6B78"/>
        <w:sz w:val="16"/>
      </w:rPr>
      <w:fldChar w:fldCharType="begin"/>
      <w:instrText xml:space="preserve"> PAGE </w:instrText>
      <w:fldChar w:fldCharType="separate"/>
      <w:fldChar w:fldCharType="end"/>
    </w:r>
    <w:r>
      <w:rPr>
        <w:rFonts w:ascii="Plus Jakarta Sans" w:hAnsi="Plus Jakarta Sans" w:cs="Plus Jakarta Sans" w:eastAsia="Plus Jakarta Sans"/>
        <w:color w:val="5C6B78"/>
        <w:sz w:val="16"/>
      </w:rPr>
      <w:t xml:space="preserve"> de </w:t>
    </w:r>
    <w:r>
      <w:rPr>
        <w:rFonts w:ascii="Plus Jakarta Sans" w:hAnsi="Plus Jakarta Sans" w:cs="Plus Jakarta Sans" w:eastAsia="Plus Jakarta Sans"/>
        <w:color w:val="5C6B78"/>
        <w:sz w:val="16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0B4F6C"/>
      </w:pBdr>
    </w:pPr>
    <w:r>
      <w:rPr>
        <w:rFonts w:ascii="Plus Jakarta Sans" w:hAnsi="Plus Jakarta Sans" w:cs="Plus Jakarta Sans" w:eastAsia="Plus Jakarta Sans"/>
        <w:b/>
        <w:color w:val="083A50"/>
        <w:sz w:val="16"/>
      </w:rPr>
      <w:t>VAMULÁ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Rule="auto" w:line="288"/>
      <w:outlineLvl w:val="0"/>
    </w:pPr>
    <w:rPr>
      <w:rFonts w:asciiTheme="majorHAnsi" w:eastAsiaTheme="majorEastAsia" w:hAnsiTheme="majorHAnsi" w:cstheme="majorBidi" w:ascii="Plus Jakarta Sans" w:hAnsi="Plus Jakarta Sans"/>
      <w:b/>
      <w:bCs/>
      <w:color w:val="083A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Rule="auto" w:line="288"/>
      <w:outlineLvl w:val="1"/>
    </w:pPr>
    <w:rPr>
      <w:rFonts w:asciiTheme="majorHAnsi" w:eastAsiaTheme="majorEastAsia" w:hAnsiTheme="majorHAnsi" w:cstheme="majorBidi" w:ascii="Plus Jakarta Sans" w:hAnsi="Plus Jakarta Sans"/>
      <w:b/>
      <w:bCs/>
      <w:color w:val="1421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Rule="auto" w:line="288"/>
      <w:outlineLvl w:val="2"/>
    </w:pPr>
    <w:rPr>
      <w:rFonts w:asciiTheme="majorHAnsi" w:eastAsiaTheme="majorEastAsia" w:hAnsiTheme="majorHAnsi" w:cstheme="majorBidi" w:ascii="Plus Jakarta Sans" w:hAnsi="Plus Jakarta Sans"/>
      <w:b/>
      <w:bCs/>
      <w:color w:val="1421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88" w:lineRule="auto" w:before="0"/>
      <w:contextualSpacing/>
    </w:pPr>
    <w:rPr>
      <w:rFonts w:asciiTheme="majorHAnsi" w:eastAsiaTheme="majorEastAsia" w:hAnsiTheme="majorHAnsi" w:cstheme="majorBidi" w:ascii="Plus Jakarta Sans" w:hAnsi="Plus Jakarta Sans"/>
      <w:b/>
      <w:color w:val="14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Rule="auto" w:line="288" w:before="0" w:after="360"/>
    </w:pPr>
    <w:rPr>
      <w:rFonts w:asciiTheme="majorHAnsi" w:eastAsiaTheme="majorEastAsia" w:hAnsiTheme="majorHAnsi" w:cstheme="majorBidi" w:ascii="Plus Jakarta Sans" w:hAnsi="Plus Jakarta Sans"/>
      <w:b w:val="0"/>
      <w:i/>
      <w:iCs/>
      <w:color w:val="3A4A5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Rule="auto" w:line="324" w:before="0"/>
    </w:pPr>
    <w:rPr>
      <w:rFonts w:ascii="Plus Jakarta Sans" w:hAnsi="Plus Jakarta Sans"/>
      <w:b w:val="0"/>
      <w:color w:val="1421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before="120" w:after="120"/>
    </w:pPr>
    <w:rPr>
      <w:rFonts w:ascii="Plus Jakarta Sans" w:hAnsi="Plus Jakarta Sans"/>
      <w:b w:val="0"/>
      <w:bCs/>
      <w:color w:val="5C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Label">
    <w:name w:val="Metadata Label"/>
    <w:basedOn w:val="BodyText"/>
    <w:pPr>
      <w:spacing w:before="0" w:after="40" w:lineRule="auto" w:line="324"/>
    </w:pPr>
    <w:rPr>
      <w:rFonts w:ascii="Plus Jakarta Sans" w:hAnsi="Plus Jakarta Sans"/>
      <w:b/>
      <w:color w:val="5C6B78"/>
      <w:sz w:val="20"/>
    </w:rPr>
  </w:style>
  <w:style w:type="paragraph" w:customStyle="1" w:styleId="MetadataValue">
    <w:name w:val="Metadata Value"/>
    <w:basedOn w:val="BodyText"/>
    <w:pPr>
      <w:spacing w:before="0" w:after="40" w:lineRule="auto" w:line="324"/>
    </w:pPr>
    <w:rPr>
      <w:rFonts w:ascii="Plus Jakarta Sans" w:hAnsi="Plus Jakarta Sans"/>
      <w:b w:val="0"/>
      <w:color w:val="14212B"/>
      <w:sz w:val="20"/>
    </w:rPr>
  </w:style>
  <w:style w:type="paragraph" w:customStyle="1" w:styleId="TableHeader">
    <w:name w:val="Table Header"/>
    <w:basedOn w:val="BodyText"/>
    <w:pPr>
      <w:spacing w:before="0" w:after="0" w:lineRule="auto" w:line="324"/>
    </w:pPr>
    <w:rPr>
      <w:rFonts w:ascii="Plus Jakarta Sans" w:hAnsi="Plus Jakarta Sans"/>
      <w:b/>
      <w:color w:val="14212B"/>
      <w:sz w:val="20"/>
    </w:rPr>
  </w:style>
  <w:style w:type="paragraph" w:customStyle="1" w:styleId="TableBody">
    <w:name w:val="Table Body"/>
    <w:basedOn w:val="BodyText"/>
    <w:pPr>
      <w:spacing w:before="0" w:after="0" w:lineRule="auto" w:line="324"/>
    </w:pPr>
    <w:rPr>
      <w:rFonts w:ascii="Plus Jakarta Sans" w:hAnsi="Plus Jakarta Sans"/>
      <w:b w:val="0"/>
      <w:color w:val="14212B"/>
      <w:sz w:val="20"/>
    </w:rPr>
  </w:style>
  <w:style w:type="paragraph" w:customStyle="1" w:styleId="Q-EXTID">
    <w:name w:val="Q-EXT ID"/>
    <w:basedOn w:val="BodyText"/>
    <w:pPr>
      <w:spacing w:before="240" w:after="80" w:lineRule="auto" w:line="324"/>
    </w:pPr>
    <w:rPr>
      <w:rFonts w:ascii="Plus Jakarta Sans" w:hAnsi="Plus Jakarta Sans"/>
      <w:b/>
      <w:color w:val="083A50"/>
      <w:sz w:val="24"/>
    </w:rPr>
  </w:style>
  <w:style w:type="paragraph" w:customStyle="1" w:styleId="Q-EXTLabel">
    <w:name w:val="Q-EXT Label"/>
    <w:basedOn w:val="BodyText"/>
    <w:pPr>
      <w:spacing w:before="120" w:after="40" w:lineRule="auto" w:line="324"/>
    </w:pPr>
    <w:rPr>
      <w:rFonts w:ascii="Plus Jakarta Sans" w:hAnsi="Plus Jakarta Sans"/>
      <w:b/>
      <w:color w:val="5C6B78"/>
      <w:sz w:val="20"/>
    </w:rPr>
  </w:style>
  <w:style w:type="paragraph" w:customStyle="1" w:styleId="Q-EXTAnswer">
    <w:name w:val="Q-EXT Answer"/>
    <w:basedOn w:val="BodyText"/>
    <w:pPr>
      <w:spacing w:before="0" w:after="120" w:lineRule="auto" w:line="324"/>
    </w:pPr>
    <w:rPr>
      <w:rFonts w:ascii="Plus Jakarta Sans" w:hAnsi="Plus Jakarta Sans"/>
      <w:b w:val="0"/>
      <w:color w:val="14212B"/>
      <w:sz w:val="22"/>
    </w:rPr>
  </w:style>
  <w:style w:type="paragraph" w:customStyle="1" w:styleId="DecisionRef">
    <w:name w:val="Decision Ref"/>
    <w:basedOn w:val="BodyText"/>
    <w:pPr>
      <w:spacing w:before="0" w:after="80" w:lineRule="auto" w:line="324"/>
    </w:pPr>
    <w:rPr>
      <w:rFonts w:ascii="Plus Jakarta Sans" w:hAnsi="Plus Jakarta Sans"/>
      <w:b/>
      <w:color w:val="14212B"/>
      <w:sz w:val="22"/>
    </w:rPr>
  </w:style>
  <w:style w:type="paragraph" w:customStyle="1" w:styleId="FindingRef">
    <w:name w:val="Finding Ref"/>
    <w:basedOn w:val="BodyText"/>
    <w:pPr>
      <w:spacing w:before="0" w:after="80" w:lineRule="auto" w:line="324"/>
    </w:pPr>
    <w:rPr>
      <w:rFonts w:ascii="Plus Jakarta Sans" w:hAnsi="Plus Jakarta Sans"/>
      <w:b/>
      <w:color w:val="14212B"/>
      <w:sz w:val="22"/>
    </w:rPr>
  </w:style>
  <w:style w:type="paragraph" w:customStyle="1" w:styleId="AnnexTitle">
    <w:name w:val="Annex Title"/>
    <w:basedOn w:val="BodyText"/>
    <w:pPr>
      <w:spacing w:before="360" w:after="120" w:lineRule="auto" w:line="324"/>
    </w:pPr>
    <w:rPr>
      <w:rFonts w:ascii="Plus Jakarta Sans" w:hAnsi="Plus Jakarta Sans"/>
      <w:b/>
      <w:color w:val="083A50"/>
      <w:sz w:val="32"/>
    </w:rPr>
  </w:style>
  <w:style w:type="paragraph" w:customStyle="1" w:styleId="CalloutNote">
    <w:name w:val="Callout Note"/>
    <w:basedOn w:val="BodyText"/>
    <w:pPr>
      <w:spacing w:before="120" w:after="120"/>
      <w:ind w:left="170"/>
      <w:pBdr>
        <w:left w:val="single" w:sz="24" w:space="4" w:color="0B4F6C"/>
      </w:pBdr>
    </w:pPr>
    <w:rPr>
      <w:rFonts w:ascii="Plus Jakarta Sans" w:hAnsi="Plus Jakarta Sans"/>
      <w:b w:val="0"/>
      <w:color w:val="14212B"/>
      <w:sz w:val="22"/>
    </w:rPr>
  </w:style>
  <w:style w:type="paragraph" w:customStyle="1" w:styleId="CalloutImportant">
    <w:name w:val="Callout Important"/>
    <w:basedOn w:val="BodyText"/>
    <w:pPr>
      <w:spacing w:before="120" w:after="120"/>
      <w:ind w:left="170"/>
      <w:pBdr>
        <w:left w:val="single" w:sz="24" w:space="4" w:color="083A50"/>
      </w:pBdr>
    </w:pPr>
    <w:rPr>
      <w:rFonts w:ascii="Plus Jakarta Sans" w:hAnsi="Plus Jakarta Sans"/>
      <w:b w:val="0"/>
      <w:color w:val="14212B"/>
      <w:sz w:val="22"/>
    </w:rPr>
  </w:style>
  <w:style w:type="paragraph" w:customStyle="1" w:styleId="CalloutWarning">
    <w:name w:val="Callout Warning"/>
    <w:basedOn w:val="BodyText"/>
    <w:pPr>
      <w:spacing w:before="120" w:after="120"/>
      <w:ind w:left="170"/>
      <w:pBdr>
        <w:left w:val="single" w:sz="24" w:space="4" w:color="14212B"/>
      </w:pBdr>
    </w:pPr>
    <w:rPr>
      <w:rFonts w:ascii="Plus Jakarta Sans" w:hAnsi="Plus Jakarta Sans"/>
      <w:b w:val="0"/>
      <w:color w:val="14212B"/>
      <w:sz w:val="22"/>
    </w:rPr>
  </w:style>
  <w:style w:type="paragraph" w:customStyle="1" w:styleId="CalloutConfidential">
    <w:name w:val="Callout Confidential"/>
    <w:basedOn w:val="BodyText"/>
    <w:pPr>
      <w:spacing w:before="120" w:after="120"/>
      <w:ind w:left="170"/>
      <w:pBdr>
        <w:left w:val="single" w:sz="24" w:space="4" w:color="083A50"/>
      </w:pBdr>
    </w:pPr>
    <w:rPr>
      <w:rFonts w:ascii="Plus Jakarta Sans" w:hAnsi="Plus Jakarta Sans"/>
      <w:b w:val="0"/>
      <w:color w:val="14212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