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approaches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 in which the mitigation outcomes originated.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participating party registry that initiates the "First Transfer".</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
Note that ITMO may exist before first transfer, thus this field is optional.</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Authorization</w:t>
            </w:r>
          </w:p>
        </w:tc>
        <w:tc>
          <w:tcPr>
            <w:tcW w:type="dxa" w:w="5669"/>
          </w:tcPr>
          <w:p>
            <w:pPr>
              <w:spacing w:before="40" w:after="80" w:lineRule="atLeast" w:line="240"/>
            </w:pPr>
            <w:r>
              <w:rPr>
                <w:sz w:val="20"/>
              </w:rPr>
              <w:t>Used when reporting the authorization of an ITMO.</w:t>
            </w:r>
          </w:p>
        </w:tc>
      </w:tr>
      <w:tr>
        <w:tc>
          <w:tcPr>
            <w:tcW w:type="dxa" w:w="1701"/>
          </w:tcPr>
          <w:p>
            <w:pPr>
              <w:spacing w:before="40" w:after="80" w:lineRule="atLeast" w:line="240"/>
            </w:pPr>
            <w:r>
              <w:rPr>
                <w:sz w:val="20"/>
              </w:rPr>
              <w:t>First 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Voluntary Cancellation</w:t>
            </w:r>
          </w:p>
        </w:tc>
        <w:tc>
          <w:tcPr>
            <w:tcW w:type="dxa" w:w="5669"/>
            <w:tcBorders>
              <w:bottom w:sz="12" w:val="single" w:color="#000000" w:space="0"/>
            </w:tcBorders>
          </w:tcPr>
          <w:p>
            <w:pPr>
              <w:spacing w:before="40" w:after="80" w:lineRule="atLeast" w:line="240"/>
            </w:pPr>
            <w:r>
              <w:rPr>
                <w:sz w:val="20"/>
              </w:rPr>
              <w:t>Used when reporting the cancellation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br/>
              <w:t>Therefore defines the "First Transferring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Transferring Party".</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Definition of "First transferring participating Party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Holding.</w:t>
              <w:br/>
              <w:t>Account Type which may acquire A6.4ERs or CERs tracked in the mechanism registry.</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Account type to which all A6.4ERs or CERs shall be issued.</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Retirement.</w:t>
              <w:br/>
              <w:t>Account type for retirement of A6.4ERs and CERs.</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paragraph 58 of the RMPs.</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Account type for voluntary cancellation of A6.4ERs for other purposes.</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paragraph 59 of the RMPs.</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paragraph 70 of the RMPs.</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Account type for cancellation of A6.4ERs for OIMP.</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Account type for administrative cancellation of A6.4ERs and CERs tracked in the mechanism registry for corrective actions and other purposes, as necessary.</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