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 in which the mitigation outcomes originated.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participating party registry that initiates the "First Transfer".</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
Note that ITMO may exist before first transfer, thus this field is optional.</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Authorization</w:t>
            </w:r>
          </w:p>
        </w:tc>
        <w:tc>
          <w:tcPr>
            <w:tcW w:type="dxa" w:w="5669"/>
          </w:tcPr>
          <w:p>
            <w:pPr>
              <w:spacing w:before="40" w:after="80" w:lineRule="atLeast" w:line="240"/>
            </w:pPr>
            <w:r>
              <w:rPr>
                <w:sz w:val="20"/>
              </w:rPr>
              <w:t>Used when reporting the authorization of an ITMO.</w:t>
            </w:r>
          </w:p>
        </w:tc>
      </w:tr>
      <w:tr>
        <w:tc>
          <w:tcPr>
            <w:tcW w:type="dxa" w:w="1701"/>
          </w:tcPr>
          <w:p>
            <w:pPr>
              <w:spacing w:before="40" w:after="80" w:lineRule="atLeast" w:line="240"/>
            </w:pPr>
            <w:r>
              <w:rPr>
                <w:sz w:val="20"/>
              </w:rPr>
              <w:t>First 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Voluntary Cancellation</w:t>
            </w:r>
          </w:p>
        </w:tc>
        <w:tc>
          <w:tcPr>
            <w:tcW w:type="dxa" w:w="5669"/>
            <w:tcBorders>
              <w:bottom w:sz="12" w:val="single" w:color="#000000" w:space="0"/>
            </w:tcBorders>
          </w:tcPr>
          <w:p>
            <w:pPr>
              <w:spacing w:before="40" w:after="80" w:lineRule="atLeast" w:line="240"/>
            </w:pPr>
            <w:r>
              <w:rPr>
                <w:sz w:val="20"/>
              </w:rPr>
              <w:t>Used when reporting the cancellation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br/>
              <w:t>Therefore defines the "First Transferring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Transferring Party".</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Definition of "First transferring participating Party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