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registered the unit (as an authorised mitigation outcome).</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Unauthorized A6.4ER</w:t>
              <w:br/>
              <w:t>Unauthorized Article 6.4 Emission Reduction.</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Mitigation Outcome (before authorization)</w:t>
              <w:br/>
              <w:t>Unauthorised Mitigation Outcome.</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