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Holding</w:t>
            </w:r>
          </w:p>
        </w:tc>
        <w:tc>
          <w:tcPr>
            <w:tcW w:type="dxa" w:w="5669"/>
          </w:tcPr>
          <w:p>
            <w:pPr>
              <w:spacing w:before="40" w:after="80" w:lineRule="atLeast" w:line="240"/>
            </w:pPr>
            <w:r>
              <w:rPr>
                <w:sz w:val="20"/>
              </w:rP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Use towards NDC</w:t>
            </w:r>
          </w:p>
        </w:tc>
        <w:tc>
          <w:tcPr>
            <w:tcW w:type="dxa" w:w="5669"/>
          </w:tcPr>
          <w:p>
            <w:pPr>
              <w:spacing w:before="40" w:after="80" w:lineRule="atLeast" w:line="240"/>
            </w:pPr>
            <w:r>
              <w:rPr>
                <w:sz w:val="20"/>
              </w:rP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Use towards international mitigation purposes (IMP)</w:t>
            </w:r>
          </w:p>
        </w:tc>
        <w:tc>
          <w:tcPr>
            <w:tcW w:type="dxa" w:w="5669"/>
          </w:tcPr>
          <w:p>
            <w:pPr>
              <w:spacing w:before="40" w:after="80" w:lineRule="atLeast" w:line="240"/>
            </w:pPr>
            <w:r>
              <w:rPr>
                <w:sz w:val="20"/>
              </w:rP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Cancellation for other purposes (OP)</w:t>
            </w:r>
          </w:p>
        </w:tc>
        <w:tc>
          <w:tcPr>
            <w:tcW w:type="dxa" w:w="5669"/>
          </w:tcPr>
          <w:p>
            <w:pPr>
              <w:spacing w:before="40" w:after="80" w:lineRule="atLeast" w:line="240"/>
            </w:pPr>
            <w:r>
              <w:rPr>
                <w:sz w:val="20"/>
              </w:rP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Voluntary cancellation of ITMOs not counted towards NDC or OIMP, for OMGE</w:t>
            </w:r>
          </w:p>
        </w:tc>
        <w:tc>
          <w:tcPr>
            <w:tcW w:type="dxa" w:w="5669"/>
          </w:tcPr>
          <w:p>
            <w:pPr>
              <w:spacing w:before="40" w:after="80" w:lineRule="atLeast" w:line="240"/>
            </w:pPr>
            <w:r>
              <w:rPr>
                <w:sz w:val="20"/>
              </w:rP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Voluntary cancellation</w:t>
            </w:r>
          </w:p>
        </w:tc>
        <w:tc>
          <w:tcPr>
            <w:tcW w:type="dxa" w:w="5669"/>
          </w:tcPr>
          <w:p>
            <w:pPr>
              <w:spacing w:before="40" w:after="80" w:lineRule="atLeast" w:line="240"/>
            </w:pPr>
            <w:r>
              <w:rPr>
                <w:sz w:val="20"/>
              </w:rP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Administrative cancellation</w:t>
            </w:r>
          </w:p>
        </w:tc>
        <w:tc>
          <w:tcPr>
            <w:tcW w:type="dxa" w:w="5669"/>
            <w:tcBorders>
              <w:bottom w:sz="12" w:val="single" w:color="#000000" w:space="0"/>
            </w:tcBorders>
          </w:tcPr>
          <w:p>
            <w:pPr>
              <w:spacing w:before="40" w:after="80" w:lineRule="atLeast" w:line="240"/>
            </w:pPr>
            <w:r>
              <w:rPr>
                <w:sz w:val="20"/>
              </w:rP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62</w:t>
            </w:r>
          </w:p>
        </w:tc>
        <w:tc>
          <w:tcPr>
            <w:tcW w:type="dxa" w:w="5669"/>
          </w:tcPr>
          <w:p>
            <w:pPr>
              <w:spacing w:before="40" w:after="80" w:lineRule="atLeast" w:line="240"/>
            </w:pPr>
            <w:r>
              <w:rPr>
                <w:sz w:val="20"/>
              </w:rPr>
              <w:t>ITMO</w:t>
            </w:r>
          </w:p>
        </w:tc>
      </w:tr>
      <w:tr>
        <w:tc>
          <w:tcPr>
            <w:tcW w:type="dxa" w:w="1701"/>
          </w:tcPr>
          <w:p>
            <w:pPr>
              <w:spacing w:before="40" w:after="80" w:lineRule="atLeast" w:line="240"/>
            </w:pPr>
            <w:r>
              <w:rPr>
                <w:sz w:val="20"/>
              </w:rPr>
              <w:t>64</w:t>
            </w:r>
          </w:p>
        </w:tc>
        <w:tc>
          <w:tcPr>
            <w:tcW w:type="dxa" w:w="5669"/>
          </w:tcPr>
          <w:p>
            <w:pPr>
              <w:spacing w:before="40" w:after="80" w:lineRule="atLeast" w:line="240"/>
            </w:pPr>
            <w:r>
              <w:rPr>
                <w:sz w:val="20"/>
              </w:rPr>
              <w:t>A6.4ER</w:t>
            </w:r>
          </w:p>
        </w:tc>
      </w:tr>
      <w:tr>
        <w:tc>
          <w:tcPr>
            <w:tcW w:type="dxa" w:w="1701"/>
          </w:tcPr>
          <w:p>
            <w:pPr>
              <w:spacing w:before="40" w:after="80" w:lineRule="atLeast" w:line="240"/>
            </w:pPr>
            <w:r>
              <w:rPr>
                <w:sz w:val="20"/>
              </w:rPr>
              <w:t>65</w:t>
            </w:r>
          </w:p>
        </w:tc>
        <w:tc>
          <w:tcPr>
            <w:tcW w:type="dxa" w:w="5669"/>
          </w:tcPr>
          <w:p>
            <w:pPr>
              <w:spacing w:before="40" w:after="80" w:lineRule="atLeast" w:line="240"/>
            </w:pPr>
            <w:r>
              <w:rPr>
                <w:sz w:val="20"/>
              </w:rPr>
              <w:t>A6.4ER (from CER)</w:t>
            </w:r>
          </w:p>
        </w:tc>
      </w:tr>
      <w:tr>
        <w:tc>
          <w:tcPr>
            <w:tcW w:type="dxa" w:w="1701"/>
            <w:tcBorders>
              <w:bottom w:sz="12" w:val="single" w:color="#000000" w:space="0"/>
            </w:tcBorders>
          </w:tcPr>
          <w:p>
            <w:pPr>
              <w:spacing w:before="40" w:after="80" w:lineRule="atLeast" w:line="240"/>
            </w:pPr>
            <w:r>
              <w:rPr>
                <w:sz w:val="20"/>
              </w:rPr>
              <w:t>67</w:t>
            </w:r>
          </w:p>
        </w:tc>
        <w:tc>
          <w:tcPr>
            <w:tcW w:type="dxa" w:w="5669"/>
            <w:tcBorders>
              <w:bottom w:sz="12" w:val="single" w:color="#000000" w:space="0"/>
            </w:tcBorders>
          </w:tcPr>
          <w:p>
            <w:pPr>
              <w:spacing w:before="40" w:after="80" w:lineRule="atLeast" w:line="240"/>
            </w:pPr>
            <w:r>
              <w:rPr>
                <w:sz w:val="20"/>
              </w:rPr>
              <w:t>MCU</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