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page" w:horzAnchor="page" w:tblpX="1135" w:tblpY="285"/>
        <w:tblOverlap w:val="never"/>
        <w:tblW w:w="9758" w:type="dxa"/>
        <w:tblBorders>
          <w:bottom w:val="single" w:sz="12" w:space="0" w:color="auto"/>
          <w:insideH w:val="single" w:sz="4" w:space="0" w:color="auto"/>
        </w:tblBorders>
        <w:tblLayout w:type="fixed"/>
        <w:tblCellMar>
          <w:left w:w="0" w:type="dxa"/>
          <w:right w:w="0" w:type="dxa"/>
        </w:tblCellMar>
        <w:tblLook w:val="01E0" w:firstRow="1" w:lastRow="1" w:firstColumn="1" w:lastColumn="1" w:noHBand="0" w:noVBand="0"/>
      </w:tblPr>
      <w:tblGrid>
        <w:gridCol w:w="6505"/>
        <w:gridCol w:w="3253"/>
      </w:tblGrid>
      <w:tr w:rsidR="00F155D2" w:rsidRPr="00221636" w14:paraId="5846D590" w14:textId="77777777" w:rsidTr="005A130C">
        <w:trPr>
          <w:gridAfter w:val="1"/>
          <w:wAfter w:w="2296" w:type="dxa"/>
          <w:cantSplit/>
          <w:trHeight w:hRule="exact" w:val="1741"/>
        </w:trPr>
        <w:tc>
          <w:tcPr>
            <w:tcW w:w="4592" w:type="dxa"/>
            <w:tcBorders>
              <w:bottom w:val="single" w:sz="4" w:space="0" w:color="auto"/>
            </w:tcBorders>
            <w:vAlign w:val="bottom"/>
          </w:tcPr>
          <w:p w14:paraId="5DC48C4A" w14:textId="77777777" w:rsidR="00F155D2" w:rsidRPr="00221636" w:rsidRDefault="00F155D2" w:rsidP="00F155D2">
            <w:pPr>
              <w:spacing w:after="60"/>
              <w:rPr>
                <w:rFonts w:asciiTheme="majorBidi" w:hAnsiTheme="majorBidi" w:cstheme="majorBidi"/>
                <w:sz w:val="28"/>
                <w:szCs w:val="28"/>
              </w:rPr>
            </w:pPr>
            <w:r w:rsidRPr="00221636">
              <w:rPr>
                <w:rFonts w:asciiTheme="majorBidi" w:hAnsiTheme="majorBidi" w:cstheme="majorBidi"/>
                <w:noProof/>
                <w:lang w:val="en-US" w:eastAsia="en-US"/>
              </w:rPr>
              <w:drawing>
                <wp:inline distT="0" distB="0" distL="0" distR="0" wp14:anchorId="08432647" wp14:editId="13202F3D">
                  <wp:extent cx="2400300" cy="56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0300" cy="561975"/>
                          </a:xfrm>
                          <a:prstGeom prst="rect">
                            <a:avLst/>
                          </a:prstGeom>
                          <a:noFill/>
                          <a:ln>
                            <a:noFill/>
                          </a:ln>
                        </pic:spPr>
                      </pic:pic>
                    </a:graphicData>
                  </a:graphic>
                </wp:inline>
              </w:drawing>
            </w:r>
          </w:p>
        </w:tc>
      </w:tr>
      <w:tr w:rsidR="00F155D2" w:rsidRPr="00221636" w14:paraId="4D27BB24" w14:textId="77777777" w:rsidTr="005A130C">
        <w:trPr>
          <w:cantSplit/>
          <w:trHeight w:hRule="exact" w:val="1437"/>
        </w:trPr>
        <w:tc>
          <w:tcPr>
            <w:tcW w:w="6888" w:type="dxa"/>
            <w:gridSpan w:val="2"/>
            <w:tcBorders>
              <w:top w:val="single" w:sz="4" w:space="0" w:color="auto"/>
              <w:bottom w:val="nil"/>
            </w:tcBorders>
          </w:tcPr>
          <w:p w14:paraId="307BD79F" w14:textId="32C2422B" w:rsidR="00F155D2" w:rsidRDefault="00F155D2" w:rsidP="00F155D2">
            <w:pPr>
              <w:pStyle w:val="TitleForm"/>
              <w:spacing w:before="360" w:after="240" w:line="300" w:lineRule="exact"/>
              <w:ind w:left="0"/>
              <w:jc w:val="left"/>
              <w:rPr>
                <w:rFonts w:asciiTheme="majorBidi" w:hAnsiTheme="majorBidi" w:cstheme="majorBidi"/>
                <w:noProof/>
                <w:sz w:val="28"/>
                <w:szCs w:val="28"/>
                <w:lang w:val="en-US"/>
              </w:rPr>
            </w:pPr>
            <w:r>
              <w:rPr>
                <w:rFonts w:asciiTheme="majorBidi" w:hAnsiTheme="majorBidi" w:cstheme="majorBidi"/>
                <w:noProof/>
                <w:sz w:val="28"/>
                <w:szCs w:val="28"/>
                <w:lang w:val="en-US"/>
              </w:rPr>
              <w:t>List of common nomenclatures</w:t>
            </w:r>
            <w:r w:rsidRPr="00BE49F5">
              <w:rPr>
                <w:rFonts w:asciiTheme="majorBidi" w:hAnsiTheme="majorBidi" w:cstheme="majorBidi"/>
                <w:noProof/>
                <w:sz w:val="28"/>
                <w:szCs w:val="28"/>
                <w:lang w:val="en-US"/>
              </w:rPr>
              <w:t xml:space="preserve"> </w:t>
            </w:r>
            <w:r>
              <w:rPr>
                <w:rFonts w:asciiTheme="majorBidi" w:hAnsiTheme="majorBidi" w:cstheme="majorBidi"/>
                <w:noProof/>
                <w:sz w:val="28"/>
                <w:szCs w:val="28"/>
                <w:lang w:val="en-US"/>
              </w:rPr>
              <w:t>under Article 6, paragraph 2, of the Paris Agreement</w:t>
            </w:r>
          </w:p>
          <w:p w14:paraId="170DA394" w14:textId="6CD0AB3F" w:rsidR="00F155D2" w:rsidRDefault="00F155D2" w:rsidP="00F155D2">
            <w:pPr>
              <w:pStyle w:val="TitleForm"/>
              <w:spacing w:before="120"/>
              <w:ind w:left="0"/>
              <w:jc w:val="left"/>
              <w:rPr>
                <w:rFonts w:asciiTheme="majorBidi" w:hAnsiTheme="majorBidi" w:cstheme="majorBidi"/>
                <w:sz w:val="21"/>
                <w:szCs w:val="21"/>
              </w:rPr>
            </w:pPr>
            <w:r>
              <w:rPr>
                <w:rFonts w:asciiTheme="majorBidi" w:hAnsiTheme="majorBidi" w:cstheme="majorBidi"/>
                <w:sz w:val="21"/>
                <w:szCs w:val="21"/>
              </w:rPr>
              <w:t>Date: #Date# (Revision: #Revision</w:t>
            </w:r>
            <w:r w:rsidR="00F72319">
              <w:rPr>
                <w:rFonts w:asciiTheme="majorBidi" w:hAnsiTheme="majorBidi" w:cstheme="majorBidi"/>
                <w:sz w:val="21"/>
                <w:szCs w:val="21"/>
              </w:rPr>
              <w:t>#</w:t>
            </w:r>
            <w:r>
              <w:rPr>
                <w:rFonts w:asciiTheme="majorBidi" w:hAnsiTheme="majorBidi" w:cstheme="majorBidi"/>
                <w:sz w:val="21"/>
                <w:szCs w:val="21"/>
              </w:rPr>
              <w:t>)</w:t>
            </w:r>
          </w:p>
          <w:p w14:paraId="3B0829F3" w14:textId="433E260B" w:rsidR="00F155D2" w:rsidRDefault="00F155D2" w:rsidP="00F155D2">
            <w:pPr>
              <w:pStyle w:val="TitleForm"/>
              <w:spacing w:before="120"/>
              <w:ind w:left="0"/>
              <w:jc w:val="left"/>
              <w:rPr>
                <w:rFonts w:asciiTheme="majorBidi" w:hAnsiTheme="majorBidi" w:cstheme="majorBidi"/>
                <w:sz w:val="21"/>
                <w:szCs w:val="21"/>
              </w:rPr>
            </w:pPr>
          </w:p>
          <w:p w14:paraId="42465ADF" w14:textId="77777777" w:rsidR="00F155D2" w:rsidRDefault="00F155D2" w:rsidP="00F155D2">
            <w:pPr>
              <w:pStyle w:val="TitleForm"/>
              <w:spacing w:before="120"/>
              <w:ind w:left="0"/>
              <w:jc w:val="left"/>
              <w:rPr>
                <w:rFonts w:asciiTheme="majorBidi" w:hAnsiTheme="majorBidi" w:cstheme="majorBidi"/>
                <w:sz w:val="21"/>
                <w:szCs w:val="21"/>
              </w:rPr>
            </w:pPr>
          </w:p>
          <w:p w14:paraId="1D214D06" w14:textId="77777777" w:rsidR="00F155D2" w:rsidRDefault="00F155D2" w:rsidP="00F155D2">
            <w:pPr>
              <w:pStyle w:val="TitleForm"/>
              <w:spacing w:before="120"/>
              <w:ind w:left="0"/>
              <w:jc w:val="left"/>
              <w:rPr>
                <w:rFonts w:asciiTheme="majorBidi" w:hAnsiTheme="majorBidi" w:cstheme="majorBidi"/>
                <w:sz w:val="21"/>
                <w:szCs w:val="21"/>
              </w:rPr>
            </w:pPr>
          </w:p>
          <w:p w14:paraId="022E268C" w14:textId="77777777" w:rsidR="00F155D2" w:rsidRDefault="00F155D2" w:rsidP="00F155D2">
            <w:pPr>
              <w:pStyle w:val="TitleForm"/>
              <w:spacing w:before="120"/>
              <w:ind w:left="0"/>
              <w:jc w:val="left"/>
              <w:rPr>
                <w:rFonts w:asciiTheme="majorBidi" w:hAnsiTheme="majorBidi" w:cstheme="majorBidi"/>
                <w:sz w:val="21"/>
                <w:szCs w:val="21"/>
              </w:rPr>
            </w:pPr>
          </w:p>
          <w:p w14:paraId="0DD4B549" w14:textId="343B5843" w:rsidR="00F155D2" w:rsidRDefault="00F155D2" w:rsidP="00F155D2">
            <w:pPr>
              <w:pStyle w:val="TitleForm"/>
              <w:spacing w:before="120"/>
              <w:ind w:left="0"/>
              <w:jc w:val="left"/>
              <w:rPr>
                <w:rFonts w:asciiTheme="majorBidi" w:hAnsiTheme="majorBidi" w:cstheme="majorBidi"/>
                <w:sz w:val="21"/>
                <w:szCs w:val="21"/>
              </w:rPr>
            </w:pPr>
          </w:p>
          <w:p w14:paraId="63B5C94C" w14:textId="77777777" w:rsidR="00F155D2" w:rsidRDefault="00F155D2" w:rsidP="00F155D2">
            <w:pPr>
              <w:pStyle w:val="TitleForm"/>
              <w:spacing w:before="120"/>
              <w:ind w:left="0"/>
              <w:jc w:val="left"/>
              <w:rPr>
                <w:rFonts w:asciiTheme="majorBidi" w:hAnsiTheme="majorBidi" w:cstheme="majorBidi"/>
                <w:sz w:val="21"/>
                <w:szCs w:val="21"/>
              </w:rPr>
            </w:pPr>
          </w:p>
          <w:p w14:paraId="1A0BAE3B" w14:textId="65D0D1CD" w:rsidR="00F155D2" w:rsidRPr="00221636" w:rsidRDefault="00F155D2" w:rsidP="00F155D2">
            <w:pPr>
              <w:pStyle w:val="TitleForm"/>
              <w:spacing w:before="120"/>
              <w:ind w:left="0"/>
              <w:jc w:val="left"/>
              <w:rPr>
                <w:rFonts w:asciiTheme="majorBidi" w:hAnsiTheme="majorBidi" w:cstheme="majorBidi"/>
              </w:rPr>
            </w:pPr>
            <w:r w:rsidRPr="00221636">
              <w:rPr>
                <w:rFonts w:asciiTheme="majorBidi" w:hAnsiTheme="majorBidi" w:cstheme="majorBidi"/>
                <w:sz w:val="21"/>
                <w:szCs w:val="21"/>
              </w:rPr>
              <w:t>Version</w:t>
            </w:r>
          </w:p>
        </w:tc>
      </w:tr>
    </w:tbl>
    <w:p w14:paraId="3C1D56C4" w14:textId="77777777" w:rsidR="00F155D2" w:rsidRDefault="00F155D2" w:rsidP="00F155D2">
      <w:pPr>
        <w:pStyle w:val="RegHChG"/>
        <w:numPr>
          <w:ilvl w:val="0"/>
          <w:numId w:val="0"/>
        </w:numPr>
        <w:ind w:left="1135"/>
        <w:rPr>
          <w:rFonts w:asciiTheme="majorBidi" w:hAnsiTheme="majorBidi" w:cstheme="majorBidi"/>
        </w:rPr>
      </w:pPr>
    </w:p>
    <w:p w14:paraId="3A65B312" w14:textId="7B9C740F" w:rsidR="00530008" w:rsidRDefault="00530008" w:rsidP="00530008">
      <w:pPr>
        <w:pStyle w:val="RegHChG"/>
        <w:numPr>
          <w:ilvl w:val="0"/>
          <w:numId w:val="34"/>
        </w:numPr>
        <w:rPr>
          <w:rFonts w:asciiTheme="majorBidi" w:hAnsiTheme="majorBidi" w:cstheme="majorBidi"/>
        </w:rPr>
      </w:pPr>
      <w:r>
        <w:rPr>
          <w:rFonts w:asciiTheme="majorBidi" w:hAnsiTheme="majorBidi" w:cstheme="majorBidi"/>
        </w:rPr>
        <w:t>Mandate and introduction</w:t>
      </w:r>
    </w:p>
    <w:p w14:paraId="6A937FBF" w14:textId="77777777" w:rsidR="00530008" w:rsidRDefault="00530008" w:rsidP="00530008">
      <w:pPr>
        <w:pStyle w:val="RegSingleTxtG"/>
        <w:numPr>
          <w:ilvl w:val="5"/>
          <w:numId w:val="34"/>
        </w:numPr>
        <w:rPr>
          <w:rFonts w:asciiTheme="majorBidi" w:hAnsiTheme="majorBidi" w:cstheme="majorBidi"/>
        </w:rPr>
      </w:pPr>
      <w:r>
        <w:t xml:space="preserve">The Subsidiary Body for Scientific and Technological Advice, at its sixtieth session, requested the secretariat, as the administrator of the centralized accounting and reporting platform (CARP), to develop an initial list of common nomenclatures, to develop a process for </w:t>
      </w:r>
      <w:r>
        <w:rPr>
          <w:rFonts w:asciiTheme="majorBidi" w:hAnsiTheme="majorBidi" w:cstheme="majorBidi"/>
        </w:rPr>
        <w:t>requesting</w:t>
      </w:r>
      <w:r>
        <w:t xml:space="preserve"> the establishment of and changes to common nomenclatures, pursuant to decision 6/CMA.4, annex I, chapter II.B, and to report on its progress in its annual report to the Conference of the Parties serving as the meeting of the Parties to the Paris Agreement referred to in decision 2/CMA.3, annex, paragraph 36(c).</w:t>
      </w:r>
      <w:r>
        <w:rPr>
          <w:rStyle w:val="FootnoteReference"/>
        </w:rPr>
        <w:footnoteReference w:id="1"/>
      </w:r>
    </w:p>
    <w:p w14:paraId="3798A3CB" w14:textId="1B4E032B" w:rsidR="00530008" w:rsidRDefault="00530008" w:rsidP="00193E35">
      <w:pPr>
        <w:pStyle w:val="RegSingleTxtG"/>
        <w:numPr>
          <w:ilvl w:val="5"/>
          <w:numId w:val="34"/>
        </w:numPr>
        <w:rPr>
          <w:rFonts w:asciiTheme="majorBidi" w:hAnsiTheme="majorBidi" w:cstheme="majorBidi"/>
        </w:rPr>
      </w:pPr>
      <w:r w:rsidRPr="00F155D2">
        <w:rPr>
          <w:rFonts w:asciiTheme="majorBidi" w:hAnsiTheme="majorBidi" w:cstheme="majorBidi"/>
        </w:rPr>
        <w:t>This document contains the list of common nomenclatures.</w:t>
      </w:r>
    </w:p>
    <w:p w14:paraId="1A9067FB" w14:textId="7D29D665" w:rsidR="001A06E5" w:rsidRPr="001A06E5" w:rsidRDefault="00F72319" w:rsidP="003A72C2">
      <w:pPr>
        <w:pStyle w:val="RegHChG"/>
        <w:numPr>
          <w:ilvl w:val="0"/>
          <w:numId w:val="34"/>
        </w:numPr>
        <w:suppressAutoHyphens w:val="0"/>
        <w:spacing w:line="240" w:lineRule="auto"/>
      </w:pPr>
      <w:r w:rsidRPr="001A06E5">
        <w:rPr>
          <w:rFonts w:asciiTheme="majorBidi" w:hAnsiTheme="majorBidi" w:cstheme="majorBidi"/>
        </w:rPr>
        <w:t>List of common nomenclatures</w:t>
      </w:r>
    </w:p>
    <w:p>
      <w:pPr>
        <w:keepNext/>
        <w:spacing w:before="0" w:after="120"/>
        <w:ind w:left="1134"/>
      </w:pPr>
      <w:r>
        <w:t>Table 1</w:t>
        <w:br/>
      </w:r>
      <w:r>
        <w:rPr>
          <w:b/>
        </w:rPr>
        <w:t>Participating Party: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Standard codes for identifying participating parties under Article 6.2 of the Paris Agreement.</w:t>
              <w:br/>
              <w:t>ISO-3166-1 alpha-3 code of the Party's country.</w:t>
              <w:br/>
              <w:t>Exceptionally reserved code elements are defined:</w:t>
              <w:br/>
              <w:t>- XEU - for the European Union, and</w:t>
              <w:br/>
              <w:t>- XMR - for the Article 6.4 Mechanism Registry.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Submission: Party</w:t>
              <w:br/>
              <w:t>Authorizations: Authorized Party(ies) ID</w:t>
              <w:br/>
              <w:t>Actions: First transferring participating Party ID</w:t>
              <w:br/>
              <w:t>Actions: Transferring participating Party ID</w:t>
              <w:br/>
              <w:t>Actions: Acquiring participating Party ID</w:t>
              <w:br/>
              <w:t>Actions: Using/cancelling participating Party ID</w:t>
              <w:br/>
              <w:t>Holdings: First transferring participating Party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ParticipatingParty</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w:t>
        <w:br/>
      </w:r>
      <w:r>
        <w:rPr>
          <w:b/>
        </w:rPr>
        <w:t>Submission version: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version number of the AEF Report for that year.</w:t>
              <w:br/>
              <w:t xml:space="preserve">The format of the version number must by "X.Y" </w:t>
              <w:br/>
              <w:t>where X is a non-zero integer representing the major version,</w:t>
              <w:br/>
              <w:t>and Y is an integer representing the minor version.</w:t>
              <w:br/>
              <w:t>The first version is always "1.0"</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Submission: Version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SubmissionVersion</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w:t>
        <w:br/>
      </w:r>
      <w:r>
        <w:rPr>
          <w:b/>
        </w:rPr>
        <w:t>Reported year: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four-digit year during which the actions occurred.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Submission: Reported year</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ReportedYear</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w:t>
        <w:br/>
      </w:r>
      <w:r>
        <w:rPr>
          <w:b/>
        </w:rPr>
        <w:t>Date of submission: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date of the AEF submission.</w:t>
              <w:br/>
              <w:t>The format is "dd/mm/yyyy".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Submission: Date of submission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DateOfSubmission</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5</w:t>
        <w:br/>
      </w:r>
      <w:r>
        <w:rPr>
          <w:b/>
        </w:rPr>
        <w:t>First year of the NDC implementation period: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four-digit year that is the first year of the Party's NDC implementation period.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Submission: First year of the NDC implementation period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FirstYearOfNDCPeriod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6</w:t>
        <w:br/>
      </w:r>
      <w:r>
        <w:rPr>
          <w:b/>
        </w:rPr>
        <w:t>Last year of the NDC implementation period: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four-digit year that is the last year of the Party's NDC implementation period.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Submission: Last year of the NDC implementation period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LastYearOfNDCPeriod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7</w:t>
        <w:br/>
      </w:r>
      <w:r>
        <w:rPr>
          <w:b/>
        </w:rPr>
        <w:t>Authorization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Authorization ID as assigned by the reporting Party.</w:t>
              <w:br/>
              <w:t>Authorization IDs can only contain alphanumeric, space, and hyphen characters.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Authorization ID</w:t>
              <w:br/>
              <w:t>Actions: Authorization ID</w:t>
              <w:br/>
              <w:t>Holdings: Authorization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AuthorizationID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8</w:t>
        <w:br/>
      </w:r>
      <w:r>
        <w:rPr>
          <w:b/>
        </w:rPr>
        <w:t>Date of authorization: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date on which the authorization was issued.  The format is "dd/mm/yyyy".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 Date of authorization</w:t>
              <w:br/>
              <w:t>Authorized entities: Date of the authorization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DateOfAuthorization</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9(a)</w:t>
        <w:br/>
      </w:r>
      <w:r>
        <w:rPr>
          <w:b/>
        </w:rPr>
        <w:t>Cooperative Approach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A unique identifier of one of the cooperative approaches under Article 6.2.</w:t>
              <w:br/>
              <w:t>The format of the string is "CANNNNNN" where the "CA" is the fixed prefix, and NNNNNN is a six-digit integer, that shall be incremented by one for each additional agreed cooperative approach, and added to this common nomenclature.</w:t>
              <w:br/>
              <w:t>Note that previously a defined format of Cooperative Approach ID was "CANNNN" with a four-digit integer.  As such,</w:t>
              <w:br/>
              <w:t>- Cooperative Approach IDs with four-digits will continue to be recognised, and</w:t>
              <w:br/>
              <w:t>- Cooperative Approach IDs with four-digits and those with six-digits with the same integer values are considered identical.  For example "CA0001" and "CA000001" are considered identical.</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Cooperative approach ID</w:t>
              <w:br/>
              <w:t>Actions: Cooperative approach ID</w:t>
              <w:br/>
              <w:t>Holdings: Cooperative approach ID</w:t>
              <w:br/>
              <w:t>Authorized entities: Cooperative approach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CooperativeApproachID</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9(b) below</w:t>
            </w:r>
          </w:p>
        </w:tc>
      </w:tr>
    </w:tbl>
    <w:p>
      <w:pPr>
        <w:spacing w:before="0" w:after="120"/>
      </w:pPr>
    </w:p>
    <w:p>
      <w:pPr>
        <w:spacing w:before="0" w:after="120"/>
        <w:ind w:left="1134"/>
      </w:pPr>
      <w:r>
        <w:t>Table 9(b)</w:t>
        <w:br/>
      </w:r>
      <w:r>
        <w:rPr>
          <w:b/>
        </w:rPr>
        <w:t>Cooperative Approach ID: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CA000001</w:t>
            </w:r>
          </w:p>
        </w:tc>
        <w:tc>
          <w:tcPr>
            <w:tcW w:type="dxa" w:w="5669"/>
          </w:tcPr>
          <w:p>
            <w:pPr>
              <w:spacing w:before="40" w:after="80" w:lineRule="atLeast" w:line="240"/>
            </w:pPr>
            <w:r>
              <w:rPr>
                <w:sz w:val="20"/>
              </w:rPr>
              <w:t>Article 6.4 mechanism (between Parties to the Paris Agreement)</w:t>
            </w:r>
          </w:p>
        </w:tc>
      </w:tr>
      <w:tr>
        <w:tc>
          <w:tcPr>
            <w:tcW w:type="dxa" w:w="1701"/>
          </w:tcPr>
          <w:p>
            <w:pPr>
              <w:spacing w:before="40" w:after="80" w:lineRule="atLeast" w:line="240"/>
            </w:pPr>
            <w:r>
              <w:rPr>
                <w:sz w:val="20"/>
              </w:rPr>
              <w:t>CA000002</w:t>
            </w:r>
          </w:p>
        </w:tc>
        <w:tc>
          <w:tcPr>
            <w:tcW w:type="dxa" w:w="5669"/>
          </w:tcPr>
          <w:p>
            <w:pPr>
              <w:spacing w:before="40" w:after="80" w:lineRule="atLeast" w:line="240"/>
            </w:pPr>
            <w:r>
              <w:rPr>
                <w:sz w:val="20"/>
              </w:rPr>
              <w:t>Promotion of climate smart agriculture practices for sustainable rice cultivation in Ghana (between Ghana and Switzerland)</w:t>
            </w:r>
          </w:p>
        </w:tc>
      </w:tr>
      <w:tr>
        <w:tc>
          <w:tcPr>
            <w:tcW w:type="dxa" w:w="1701"/>
          </w:tcPr>
          <w:p>
            <w:pPr>
              <w:spacing w:before="40" w:after="80" w:lineRule="atLeast" w:line="240"/>
            </w:pPr>
            <w:r>
              <w:rPr>
                <w:sz w:val="20"/>
              </w:rPr>
              <w:t>CA000003</w:t>
            </w:r>
          </w:p>
        </w:tc>
        <w:tc>
          <w:tcPr>
            <w:tcW w:type="dxa" w:w="5669"/>
          </w:tcPr>
          <w:p>
            <w:pPr>
              <w:spacing w:before="40" w:after="80" w:lineRule="atLeast" w:line="240"/>
            </w:pPr>
            <w:r>
              <w:rPr>
                <w:sz w:val="20"/>
              </w:rPr>
              <w:t>Operation of e-buses on privately owned, scheduled public bus routes in the Bangkok Metropolitan area by Energy Absolute / Implementing Agreement to the Paris Agreement between the Kingdom of Thailand and the Swiss Confederation (between Switzerland and Thailand)</w:t>
            </w:r>
          </w:p>
        </w:tc>
      </w:tr>
      <w:tr>
        <w:tc>
          <w:tcPr>
            <w:tcW w:type="dxa" w:w="1701"/>
          </w:tcPr>
          <w:p>
            <w:pPr>
              <w:spacing w:before="40" w:after="80" w:lineRule="atLeast" w:line="240"/>
            </w:pPr>
            <w:r>
              <w:rPr>
                <w:sz w:val="20"/>
              </w:rPr>
              <w:t>CA000004</w:t>
            </w:r>
          </w:p>
        </w:tc>
        <w:tc>
          <w:tcPr>
            <w:tcW w:type="dxa" w:w="5669"/>
          </w:tcPr>
          <w:p>
            <w:pPr>
              <w:spacing w:before="40" w:after="80" w:lineRule="atLeast" w:line="240"/>
            </w:pPr>
            <w:r>
              <w:rPr>
                <w:sz w:val="20"/>
              </w:rPr>
              <w:t>Electrification of Vanuatu's Inhabited Islands through Solar Power ITMO Programme (between Switzerland and Vanuatu)</w:t>
            </w:r>
          </w:p>
        </w:tc>
      </w:tr>
      <w:tr>
        <w:tc>
          <w:tcPr>
            <w:tcW w:type="dxa" w:w="1701"/>
          </w:tcPr>
          <w:p>
            <w:pPr>
              <w:spacing w:before="40" w:after="80" w:lineRule="atLeast" w:line="240"/>
            </w:pPr>
            <w:r>
              <w:rPr>
                <w:sz w:val="20"/>
              </w:rPr>
              <w:t>CA000005</w:t>
            </w:r>
          </w:p>
        </w:tc>
        <w:tc>
          <w:tcPr>
            <w:tcW w:type="dxa" w:w="5669"/>
          </w:tcPr>
          <w:p>
            <w:pPr>
              <w:spacing w:before="40" w:after="80" w:lineRule="atLeast" w:line="240"/>
            </w:pPr>
            <w:r>
              <w:rPr>
                <w:sz w:val="20"/>
              </w:rPr>
              <w:t>Emissions Reductions from Sustainable Management of Forests (by Guyana)</w:t>
            </w:r>
          </w:p>
        </w:tc>
      </w:tr>
      <w:tr>
        <w:tc>
          <w:tcPr>
            <w:tcW w:type="dxa" w:w="1701"/>
          </w:tcPr>
          <w:p>
            <w:pPr>
              <w:spacing w:before="40" w:after="80" w:lineRule="atLeast" w:line="240"/>
            </w:pPr>
            <w:r>
              <w:rPr>
                <w:sz w:val="20"/>
              </w:rPr>
              <w:t>CA000006</w:t>
            </w:r>
          </w:p>
        </w:tc>
        <w:tc>
          <w:tcPr>
            <w:tcW w:type="dxa" w:w="5669"/>
          </w:tcPr>
          <w:p>
            <w:pPr>
              <w:spacing w:before="40" w:after="80" w:lineRule="atLeast" w:line="240"/>
            </w:pPr>
            <w:r>
              <w:rPr>
                <w:sz w:val="20"/>
              </w:rPr>
              <w:t>ITMOs resulting from Paris Agreement Article 5.2: reducing emissions from deforestation and forest degradation, and the role of conservation, sustainable management of forests and enhancement of forest carbon stocks (by Suriname)</w:t>
            </w:r>
          </w:p>
        </w:tc>
      </w:tr>
      <w:tr>
        <w:tc>
          <w:tcPr>
            <w:tcW w:type="dxa" w:w="1701"/>
          </w:tcPr>
          <w:p>
            <w:pPr>
              <w:spacing w:before="40" w:after="80" w:lineRule="atLeast" w:line="240"/>
            </w:pPr>
            <w:r>
              <w:rPr>
                <w:sz w:val="20"/>
              </w:rPr>
              <w:t>CA000007</w:t>
            </w:r>
          </w:p>
        </w:tc>
        <w:tc>
          <w:tcPr>
            <w:tcW w:type="dxa" w:w="5669"/>
          </w:tcPr>
          <w:p>
            <w:pPr>
              <w:spacing w:before="40" w:after="80" w:lineRule="atLeast" w:line="240"/>
            </w:pPr>
            <w:r>
              <w:rPr>
                <w:sz w:val="20"/>
              </w:rPr>
              <w:t>Joint Crediting Mechanism between the government of Japan and the government of the Kingdom of Thailand</w:t>
            </w:r>
          </w:p>
        </w:tc>
      </w:tr>
      <w:tr>
        <w:tc>
          <w:tcPr>
            <w:tcW w:type="dxa" w:w="1701"/>
          </w:tcPr>
          <w:p>
            <w:pPr>
              <w:spacing w:before="40" w:after="80" w:lineRule="atLeast" w:line="240"/>
            </w:pPr>
            <w:r>
              <w:rPr>
                <w:sz w:val="20"/>
              </w:rPr>
              <w:t>CA000008</w:t>
            </w:r>
          </w:p>
        </w:tc>
        <w:tc>
          <w:tcPr>
            <w:tcW w:type="dxa" w:w="5669"/>
          </w:tcPr>
          <w:p>
            <w:pPr>
              <w:spacing w:before="40" w:after="80" w:lineRule="atLeast" w:line="240"/>
            </w:pPr>
            <w:r>
              <w:rPr>
                <w:sz w:val="20"/>
              </w:rPr>
              <w:t>The Joint Crediting Mechanism (JCM), established under the 'Low Carbon Development Partnership' between the Governments of Mongolia and Japan, operates in accordance with Article 6 of the Paris Agreement</w:t>
            </w:r>
          </w:p>
        </w:tc>
      </w:tr>
      <w:tr>
        <w:tc>
          <w:tcPr>
            <w:tcW w:type="dxa" w:w="1701"/>
          </w:tcPr>
          <w:p>
            <w:pPr>
              <w:spacing w:before="40" w:after="80" w:lineRule="atLeast" w:line="240"/>
            </w:pPr>
            <w:r>
              <w:rPr>
                <w:sz w:val="20"/>
              </w:rPr>
              <w:t>CA000009</w:t>
            </w:r>
          </w:p>
        </w:tc>
        <w:tc>
          <w:tcPr>
            <w:tcW w:type="dxa" w:w="5669"/>
          </w:tcPr>
          <w:p>
            <w:pPr>
              <w:spacing w:before="40" w:after="80" w:lineRule="atLeast" w:line="240"/>
            </w:pPr>
            <w:r>
              <w:rPr>
                <w:sz w:val="20"/>
              </w:rPr>
              <w:t>Grouped Projects for Cambodia Improved Cookstove</w:t>
            </w:r>
          </w:p>
        </w:tc>
      </w:tr>
      <w:tr>
        <w:tc>
          <w:tcPr>
            <w:tcW w:type="dxa" w:w="1701"/>
          </w:tcPr>
          <w:p>
            <w:pPr>
              <w:spacing w:before="40" w:after="80" w:lineRule="atLeast" w:line="240"/>
            </w:pPr>
            <w:r>
              <w:rPr>
                <w:sz w:val="20"/>
              </w:rPr>
              <w:t>CA000010</w:t>
            </w:r>
          </w:p>
        </w:tc>
        <w:tc>
          <w:tcPr>
            <w:tcW w:type="dxa" w:w="5669"/>
          </w:tcPr>
          <w:p>
            <w:pPr>
              <w:spacing w:before="40" w:after="80" w:lineRule="atLeast" w:line="240"/>
            </w:pPr>
            <w:r>
              <w:rPr>
                <w:sz w:val="20"/>
              </w:rPr>
              <w:t>Grouped Projects for Cambodia Water Purifier</w:t>
            </w:r>
          </w:p>
        </w:tc>
      </w:tr>
      <w:tr>
        <w:tc>
          <w:tcPr>
            <w:tcW w:type="dxa" w:w="1701"/>
          </w:tcPr>
          <w:p>
            <w:pPr>
              <w:spacing w:before="40" w:after="80" w:lineRule="atLeast" w:line="240"/>
            </w:pPr>
            <w:r>
              <w:rPr>
                <w:sz w:val="20"/>
              </w:rPr>
              <w:t>CA000011</w:t>
            </w:r>
          </w:p>
        </w:tc>
        <w:tc>
          <w:tcPr>
            <w:tcW w:type="dxa" w:w="5669"/>
          </w:tcPr>
          <w:p>
            <w:pPr>
              <w:spacing w:before="40" w:after="80" w:lineRule="atLeast" w:line="240"/>
            </w:pPr>
            <w:r>
              <w:rPr>
                <w:sz w:val="20"/>
              </w:rPr>
              <w:t>Cicada Clean Cooking Zimbabwe</w:t>
            </w:r>
          </w:p>
        </w:tc>
      </w:tr>
      <w:tr>
        <w:tc>
          <w:tcPr>
            <w:tcW w:type="dxa" w:w="1701"/>
          </w:tcPr>
          <w:p>
            <w:pPr>
              <w:spacing w:before="40" w:after="80" w:lineRule="atLeast" w:line="240"/>
            </w:pPr>
            <w:r>
              <w:rPr>
                <w:sz w:val="20"/>
              </w:rPr>
              <w:t>CA000012</w:t>
            </w:r>
          </w:p>
        </w:tc>
        <w:tc>
          <w:tcPr>
            <w:tcW w:type="dxa" w:w="5669"/>
          </w:tcPr>
          <w:p>
            <w:pPr>
              <w:spacing w:before="40" w:after="80" w:lineRule="atLeast" w:line="240"/>
            </w:pPr>
            <w:r>
              <w:rPr>
                <w:sz w:val="20"/>
              </w:rPr>
              <w:t>The Joint Crediting Mechanism between the Government of Maldives and the Government of Japan</w:t>
            </w:r>
          </w:p>
        </w:tc>
      </w:tr>
      <w:tr>
        <w:tc>
          <w:tcPr>
            <w:tcW w:type="dxa" w:w="1701"/>
          </w:tcPr>
          <w:p>
            <w:pPr>
              <w:spacing w:before="40" w:after="80" w:lineRule="atLeast" w:line="240"/>
            </w:pPr>
            <w:r>
              <w:rPr>
                <w:sz w:val="20"/>
              </w:rPr>
              <w:t>CA000013</w:t>
            </w:r>
          </w:p>
        </w:tc>
        <w:tc>
          <w:tcPr>
            <w:tcW w:type="dxa" w:w="5669"/>
          </w:tcPr>
          <w:p>
            <w:pPr>
              <w:spacing w:before="40" w:after="80" w:lineRule="atLeast" w:line="240"/>
            </w:pPr>
            <w:r>
              <w:rPr>
                <w:sz w:val="20"/>
              </w:rPr>
              <w:t>BIOMASS ENERGY FOR CONSERVATION PROGRAMME (GS11677)</w:t>
            </w:r>
          </w:p>
        </w:tc>
      </w:tr>
      <w:tr>
        <w:tc>
          <w:tcPr>
            <w:tcW w:type="dxa" w:w="1701"/>
          </w:tcPr>
          <w:p>
            <w:pPr>
              <w:spacing w:before="40" w:after="80" w:lineRule="atLeast" w:line="240"/>
            </w:pPr>
            <w:r>
              <w:rPr>
                <w:sz w:val="20"/>
              </w:rPr>
              <w:t>CA000014</w:t>
            </w:r>
          </w:p>
        </w:tc>
        <w:tc>
          <w:tcPr>
            <w:tcW w:type="dxa" w:w="5669"/>
          </w:tcPr>
          <w:p>
            <w:pPr>
              <w:spacing w:before="40" w:after="80" w:lineRule="atLeast" w:line="240"/>
            </w:pPr>
            <w:r>
              <w:rPr>
                <w:sz w:val="20"/>
              </w:rPr>
              <w:t>The Joint Crediting Mechanism between the Government of Palau and the Government of Japan</w:t>
            </w:r>
          </w:p>
        </w:tc>
      </w:tr>
      <w:tr>
        <w:tc>
          <w:tcPr>
            <w:tcW w:type="dxa" w:w="1701"/>
          </w:tcPr>
          <w:p>
            <w:pPr>
              <w:spacing w:before="40" w:after="80" w:lineRule="atLeast" w:line="240"/>
            </w:pPr>
            <w:r>
              <w:rPr>
                <w:sz w:val="20"/>
              </w:rPr>
              <w:t>CA000015</w:t>
            </w:r>
          </w:p>
        </w:tc>
        <w:tc>
          <w:tcPr>
            <w:tcW w:type="dxa" w:w="5669"/>
          </w:tcPr>
          <w:p>
            <w:pPr>
              <w:spacing w:before="40" w:after="80" w:lineRule="atLeast" w:line="240"/>
            </w:pPr>
            <w:r>
              <w:rPr>
                <w:sz w:val="20"/>
              </w:rPr>
              <w:t>The Joint Crediting Mechanism between the Government of the Republic of Tunisia and the Government of Japan</w:t>
            </w:r>
          </w:p>
        </w:tc>
      </w:tr>
      <w:tr>
        <w:tc>
          <w:tcPr>
            <w:tcW w:type="dxa" w:w="1701"/>
          </w:tcPr>
          <w:p>
            <w:pPr>
              <w:spacing w:before="40" w:after="80" w:lineRule="atLeast" w:line="240"/>
            </w:pPr>
            <w:r>
              <w:rPr>
                <w:sz w:val="20"/>
              </w:rPr>
              <w:t>CA000016</w:t>
            </w:r>
          </w:p>
        </w:tc>
        <w:tc>
          <w:tcPr>
            <w:tcW w:type="dxa" w:w="5669"/>
          </w:tcPr>
          <w:p>
            <w:pPr>
              <w:spacing w:before="40" w:after="80" w:lineRule="atLeast" w:line="240"/>
            </w:pPr>
            <w:r>
              <w:rPr>
                <w:sz w:val="20"/>
              </w:rPr>
              <w:t>Reducing emissions from deforestation and forest degradation, and the role of conservation, sustainable management of forests and enhancement of forest carbon stocks (REDD+)</w:t>
            </w:r>
          </w:p>
        </w:tc>
      </w:tr>
      <w:tr>
        <w:tc>
          <w:tcPr>
            <w:tcW w:type="dxa" w:w="1701"/>
          </w:tcPr>
          <w:p>
            <w:pPr>
              <w:spacing w:before="40" w:after="80" w:lineRule="atLeast" w:line="240"/>
            </w:pPr>
            <w:r>
              <w:rPr>
                <w:sz w:val="20"/>
              </w:rPr>
              <w:t>CA000017</w:t>
            </w:r>
          </w:p>
        </w:tc>
        <w:tc>
          <w:tcPr>
            <w:tcW w:type="dxa" w:w="5669"/>
          </w:tcPr>
          <w:p>
            <w:pPr>
              <w:spacing w:before="40" w:after="80" w:lineRule="atLeast" w:line="240"/>
            </w:pPr>
            <w:r>
              <w:rPr>
                <w:sz w:val="20"/>
              </w:rPr>
              <w:t>Joint Crediting Mechanism between the Government of Japan and the People's Republic of Bangladesh</w:t>
            </w:r>
          </w:p>
        </w:tc>
      </w:tr>
      <w:tr>
        <w:tc>
          <w:tcPr>
            <w:tcW w:type="dxa" w:w="1701"/>
          </w:tcPr>
          <w:p>
            <w:pPr>
              <w:spacing w:before="40" w:after="80" w:lineRule="atLeast" w:line="240"/>
            </w:pPr>
            <w:r>
              <w:rPr>
                <w:sz w:val="20"/>
              </w:rPr>
              <w:t>CA000018</w:t>
            </w:r>
          </w:p>
        </w:tc>
        <w:tc>
          <w:tcPr>
            <w:tcW w:type="dxa" w:w="5669"/>
          </w:tcPr>
          <w:p>
            <w:pPr>
              <w:spacing w:before="40" w:after="80" w:lineRule="atLeast" w:line="240"/>
            </w:pPr>
            <w:r>
              <w:rPr>
                <w:sz w:val="20"/>
              </w:rPr>
              <w:t>Joint Crediting Mechanism between the Government of Japan and the Federal Democratic Republic of Ethiopia</w:t>
            </w:r>
          </w:p>
        </w:tc>
      </w:tr>
      <w:tr>
        <w:tc>
          <w:tcPr>
            <w:tcW w:type="dxa" w:w="1701"/>
          </w:tcPr>
          <w:p>
            <w:pPr>
              <w:spacing w:before="40" w:after="80" w:lineRule="atLeast" w:line="240"/>
            </w:pPr>
            <w:r>
              <w:rPr>
                <w:sz w:val="20"/>
              </w:rPr>
              <w:t>CA000019</w:t>
            </w:r>
          </w:p>
        </w:tc>
        <w:tc>
          <w:tcPr>
            <w:tcW w:type="dxa" w:w="5669"/>
          </w:tcPr>
          <w:p>
            <w:pPr>
              <w:spacing w:before="40" w:after="80" w:lineRule="atLeast" w:line="240"/>
            </w:pPr>
            <w:r>
              <w:rPr>
                <w:sz w:val="20"/>
              </w:rPr>
              <w:t>Joint Crediting Mechanism between the Government of Japan and the Republic of Kenya</w:t>
            </w:r>
          </w:p>
        </w:tc>
      </w:tr>
      <w:tr>
        <w:tc>
          <w:tcPr>
            <w:tcW w:type="dxa" w:w="1701"/>
          </w:tcPr>
          <w:p>
            <w:pPr>
              <w:spacing w:before="40" w:after="80" w:lineRule="atLeast" w:line="240"/>
            </w:pPr>
            <w:r>
              <w:rPr>
                <w:sz w:val="20"/>
              </w:rPr>
              <w:t>CA000020</w:t>
            </w:r>
          </w:p>
        </w:tc>
        <w:tc>
          <w:tcPr>
            <w:tcW w:type="dxa" w:w="5669"/>
          </w:tcPr>
          <w:p>
            <w:pPr>
              <w:spacing w:before="40" w:after="80" w:lineRule="atLeast" w:line="240"/>
            </w:pPr>
            <w:r>
              <w:rPr>
                <w:sz w:val="20"/>
              </w:rPr>
              <w:t>Joint Crediting Mechanism between the Government of Japan and the Socialist Republic of Viet Nam</w:t>
            </w:r>
          </w:p>
        </w:tc>
      </w:tr>
      <w:tr>
        <w:tc>
          <w:tcPr>
            <w:tcW w:type="dxa" w:w="1701"/>
          </w:tcPr>
          <w:p>
            <w:pPr>
              <w:spacing w:before="40" w:after="80" w:lineRule="atLeast" w:line="240"/>
            </w:pPr>
            <w:r>
              <w:rPr>
                <w:sz w:val="20"/>
              </w:rPr>
              <w:t>CA000021</w:t>
            </w:r>
          </w:p>
        </w:tc>
        <w:tc>
          <w:tcPr>
            <w:tcW w:type="dxa" w:w="5669"/>
          </w:tcPr>
          <w:p>
            <w:pPr>
              <w:spacing w:before="40" w:after="80" w:lineRule="atLeast" w:line="240"/>
            </w:pPr>
            <w:r>
              <w:rPr>
                <w:sz w:val="20"/>
              </w:rPr>
              <w:t>Joint Crediting Mechanism between the Government of Japan and the Lao People's Democratic Republic</w:t>
            </w:r>
          </w:p>
        </w:tc>
      </w:tr>
      <w:tr>
        <w:tc>
          <w:tcPr>
            <w:tcW w:type="dxa" w:w="1701"/>
          </w:tcPr>
          <w:p>
            <w:pPr>
              <w:spacing w:before="40" w:after="80" w:lineRule="atLeast" w:line="240"/>
            </w:pPr>
            <w:r>
              <w:rPr>
                <w:sz w:val="20"/>
              </w:rPr>
              <w:t>CA000022</w:t>
            </w:r>
          </w:p>
        </w:tc>
        <w:tc>
          <w:tcPr>
            <w:tcW w:type="dxa" w:w="5669"/>
          </w:tcPr>
          <w:p>
            <w:pPr>
              <w:spacing w:before="40" w:after="80" w:lineRule="atLeast" w:line="240"/>
            </w:pPr>
            <w:r>
              <w:rPr>
                <w:sz w:val="20"/>
              </w:rPr>
              <w:t>Joint Crediting Mechanism between the Government of Japan and the Republic of Indonesia</w:t>
            </w:r>
          </w:p>
        </w:tc>
      </w:tr>
      <w:tr>
        <w:tc>
          <w:tcPr>
            <w:tcW w:type="dxa" w:w="1701"/>
          </w:tcPr>
          <w:p>
            <w:pPr>
              <w:spacing w:before="40" w:after="80" w:lineRule="atLeast" w:line="240"/>
            </w:pPr>
            <w:r>
              <w:rPr>
                <w:sz w:val="20"/>
              </w:rPr>
              <w:t>CA000023</w:t>
            </w:r>
          </w:p>
        </w:tc>
        <w:tc>
          <w:tcPr>
            <w:tcW w:type="dxa" w:w="5669"/>
          </w:tcPr>
          <w:p>
            <w:pPr>
              <w:spacing w:before="40" w:after="80" w:lineRule="atLeast" w:line="240"/>
            </w:pPr>
            <w:r>
              <w:rPr>
                <w:sz w:val="20"/>
              </w:rPr>
              <w:t>Joint Crediting Mechanism between the Government of Japan and the Republic of Costa Rica</w:t>
            </w:r>
          </w:p>
        </w:tc>
      </w:tr>
      <w:tr>
        <w:tc>
          <w:tcPr>
            <w:tcW w:type="dxa" w:w="1701"/>
          </w:tcPr>
          <w:p>
            <w:pPr>
              <w:spacing w:before="40" w:after="80" w:lineRule="atLeast" w:line="240"/>
            </w:pPr>
            <w:r>
              <w:rPr>
                <w:sz w:val="20"/>
              </w:rPr>
              <w:t>CA000024</w:t>
            </w:r>
          </w:p>
        </w:tc>
        <w:tc>
          <w:tcPr>
            <w:tcW w:type="dxa" w:w="5669"/>
          </w:tcPr>
          <w:p>
            <w:pPr>
              <w:spacing w:before="40" w:after="80" w:lineRule="atLeast" w:line="240"/>
            </w:pPr>
            <w:r>
              <w:rPr>
                <w:sz w:val="20"/>
              </w:rPr>
              <w:t>Joint Crediting Mechanism between the Government of Japan and the Kingdom of Cambodia</w:t>
            </w:r>
          </w:p>
        </w:tc>
      </w:tr>
      <w:tr>
        <w:tc>
          <w:tcPr>
            <w:tcW w:type="dxa" w:w="1701"/>
          </w:tcPr>
          <w:p>
            <w:pPr>
              <w:spacing w:before="40" w:after="80" w:lineRule="atLeast" w:line="240"/>
            </w:pPr>
            <w:r>
              <w:rPr>
                <w:sz w:val="20"/>
              </w:rPr>
              <w:t>CA000025</w:t>
            </w:r>
          </w:p>
        </w:tc>
        <w:tc>
          <w:tcPr>
            <w:tcW w:type="dxa" w:w="5669"/>
          </w:tcPr>
          <w:p>
            <w:pPr>
              <w:spacing w:before="40" w:after="80" w:lineRule="atLeast" w:line="240"/>
            </w:pPr>
            <w:r>
              <w:rPr>
                <w:sz w:val="20"/>
              </w:rPr>
              <w:t>Joint Crediting Mechanism between the Government of Japan and the United Mexican States (Mexico)</w:t>
            </w:r>
          </w:p>
        </w:tc>
      </w:tr>
      <w:tr>
        <w:tc>
          <w:tcPr>
            <w:tcW w:type="dxa" w:w="1701"/>
          </w:tcPr>
          <w:p>
            <w:pPr>
              <w:spacing w:before="40" w:after="80" w:lineRule="atLeast" w:line="240"/>
            </w:pPr>
            <w:r>
              <w:rPr>
                <w:sz w:val="20"/>
              </w:rPr>
              <w:t>CA000026</w:t>
            </w:r>
          </w:p>
        </w:tc>
        <w:tc>
          <w:tcPr>
            <w:tcW w:type="dxa" w:w="5669"/>
          </w:tcPr>
          <w:p>
            <w:pPr>
              <w:spacing w:before="40" w:after="80" w:lineRule="atLeast" w:line="240"/>
            </w:pPr>
            <w:r>
              <w:rPr>
                <w:sz w:val="20"/>
              </w:rPr>
              <w:t>Joint Crediting Mechanism between the Government of Japan and the Republic of Chile</w:t>
            </w:r>
          </w:p>
        </w:tc>
      </w:tr>
      <w:tr>
        <w:tc>
          <w:tcPr>
            <w:tcW w:type="dxa" w:w="1701"/>
          </w:tcPr>
          <w:p>
            <w:pPr>
              <w:spacing w:before="40" w:after="80" w:lineRule="atLeast" w:line="240"/>
            </w:pPr>
            <w:r>
              <w:rPr>
                <w:sz w:val="20"/>
              </w:rPr>
              <w:t>CA000027</w:t>
            </w:r>
          </w:p>
        </w:tc>
        <w:tc>
          <w:tcPr>
            <w:tcW w:type="dxa" w:w="5669"/>
          </w:tcPr>
          <w:p>
            <w:pPr>
              <w:spacing w:before="40" w:after="80" w:lineRule="atLeast" w:line="240"/>
            </w:pPr>
            <w:r>
              <w:rPr>
                <w:sz w:val="20"/>
              </w:rPr>
              <w:t>Joint Crediting Mechanism between the Government of Japan and the Republic of the Philippines</w:t>
            </w:r>
          </w:p>
        </w:tc>
      </w:tr>
      <w:tr>
        <w:tc>
          <w:tcPr>
            <w:tcW w:type="dxa" w:w="1701"/>
          </w:tcPr>
          <w:p>
            <w:pPr>
              <w:spacing w:before="40" w:after="80" w:lineRule="atLeast" w:line="240"/>
            </w:pPr>
            <w:r>
              <w:rPr>
                <w:sz w:val="20"/>
              </w:rPr>
              <w:t>CA000028</w:t>
            </w:r>
          </w:p>
        </w:tc>
        <w:tc>
          <w:tcPr>
            <w:tcW w:type="dxa" w:w="5669"/>
          </w:tcPr>
          <w:p>
            <w:pPr>
              <w:spacing w:before="40" w:after="80" w:lineRule="atLeast" w:line="240"/>
            </w:pPr>
            <w:r>
              <w:rPr>
                <w:sz w:val="20"/>
              </w:rPr>
              <w:t>Joint Crediting Mechanism between the Government of Japan and the Republic of Senegal</w:t>
            </w:r>
          </w:p>
        </w:tc>
      </w:tr>
      <w:tr>
        <w:tc>
          <w:tcPr>
            <w:tcW w:type="dxa" w:w="1701"/>
          </w:tcPr>
          <w:p>
            <w:pPr>
              <w:spacing w:before="40" w:after="80" w:lineRule="atLeast" w:line="240"/>
            </w:pPr>
            <w:r>
              <w:rPr>
                <w:sz w:val="20"/>
              </w:rPr>
              <w:t>CA000029</w:t>
            </w:r>
          </w:p>
        </w:tc>
        <w:tc>
          <w:tcPr>
            <w:tcW w:type="dxa" w:w="5669"/>
          </w:tcPr>
          <w:p>
            <w:pPr>
              <w:spacing w:before="40" w:after="80" w:lineRule="atLeast" w:line="240"/>
            </w:pPr>
            <w:r>
              <w:rPr>
                <w:sz w:val="20"/>
              </w:rPr>
              <w:t>Joint Crediting Mechanism between the Government of Japan and the Republic of Azerbaijan</w:t>
            </w:r>
          </w:p>
        </w:tc>
      </w:tr>
      <w:tr>
        <w:tc>
          <w:tcPr>
            <w:tcW w:type="dxa" w:w="1701"/>
          </w:tcPr>
          <w:p>
            <w:pPr>
              <w:spacing w:before="40" w:after="80" w:lineRule="atLeast" w:line="240"/>
            </w:pPr>
            <w:r>
              <w:rPr>
                <w:sz w:val="20"/>
              </w:rPr>
              <w:t>CA000030</w:t>
            </w:r>
          </w:p>
        </w:tc>
        <w:tc>
          <w:tcPr>
            <w:tcW w:type="dxa" w:w="5669"/>
          </w:tcPr>
          <w:p>
            <w:pPr>
              <w:spacing w:before="40" w:after="80" w:lineRule="atLeast" w:line="240"/>
            </w:pPr>
            <w:r>
              <w:rPr>
                <w:sz w:val="20"/>
              </w:rPr>
              <w:t>Joint Crediting Mechanism between the Government of Japan and the Republic of Moldova</w:t>
            </w:r>
          </w:p>
        </w:tc>
      </w:tr>
      <w:tr>
        <w:tc>
          <w:tcPr>
            <w:tcW w:type="dxa" w:w="1701"/>
          </w:tcPr>
          <w:p>
            <w:pPr>
              <w:spacing w:before="40" w:after="80" w:lineRule="atLeast" w:line="240"/>
            </w:pPr>
            <w:r>
              <w:rPr>
                <w:sz w:val="20"/>
              </w:rPr>
              <w:t>CA000031</w:t>
            </w:r>
          </w:p>
        </w:tc>
        <w:tc>
          <w:tcPr>
            <w:tcW w:type="dxa" w:w="5669"/>
          </w:tcPr>
          <w:p>
            <w:pPr>
              <w:spacing w:before="40" w:after="80" w:lineRule="atLeast" w:line="240"/>
            </w:pPr>
            <w:r>
              <w:rPr>
                <w:sz w:val="20"/>
              </w:rPr>
              <w:t>Joint Crediting Mechanism between the Government of Japan and the Georgia</w:t>
            </w:r>
          </w:p>
        </w:tc>
      </w:tr>
      <w:tr>
        <w:tc>
          <w:tcPr>
            <w:tcW w:type="dxa" w:w="1701"/>
          </w:tcPr>
          <w:p>
            <w:pPr>
              <w:spacing w:before="40" w:after="80" w:lineRule="atLeast" w:line="240"/>
            </w:pPr>
            <w:r>
              <w:rPr>
                <w:sz w:val="20"/>
              </w:rPr>
              <w:t>CA000032</w:t>
            </w:r>
          </w:p>
        </w:tc>
        <w:tc>
          <w:tcPr>
            <w:tcW w:type="dxa" w:w="5669"/>
          </w:tcPr>
          <w:p>
            <w:pPr>
              <w:spacing w:before="40" w:after="80" w:lineRule="atLeast" w:line="240"/>
            </w:pPr>
            <w:r>
              <w:rPr>
                <w:sz w:val="20"/>
              </w:rPr>
              <w:t>Joint Crediting Mechanism between the Government of Japan and the Democratic Socialist Republic of Sri Lanka</w:t>
            </w:r>
          </w:p>
        </w:tc>
      </w:tr>
      <w:tr>
        <w:tc>
          <w:tcPr>
            <w:tcW w:type="dxa" w:w="1701"/>
          </w:tcPr>
          <w:p>
            <w:pPr>
              <w:spacing w:before="40" w:after="80" w:lineRule="atLeast" w:line="240"/>
            </w:pPr>
            <w:r>
              <w:rPr>
                <w:sz w:val="20"/>
              </w:rPr>
              <w:t>CA000033</w:t>
            </w:r>
          </w:p>
        </w:tc>
        <w:tc>
          <w:tcPr>
            <w:tcW w:type="dxa" w:w="5669"/>
          </w:tcPr>
          <w:p>
            <w:pPr>
              <w:spacing w:before="40" w:after="80" w:lineRule="atLeast" w:line="240"/>
            </w:pPr>
            <w:r>
              <w:rPr>
                <w:sz w:val="20"/>
              </w:rPr>
              <w:t>Joint Crediting Mechanism between the Government of Japan and the Republic of Uzbekistan</w:t>
            </w:r>
          </w:p>
        </w:tc>
      </w:tr>
      <w:tr>
        <w:tc>
          <w:tcPr>
            <w:tcW w:type="dxa" w:w="1701"/>
          </w:tcPr>
          <w:p>
            <w:pPr>
              <w:spacing w:before="40" w:after="80" w:lineRule="atLeast" w:line="240"/>
            </w:pPr>
            <w:r>
              <w:rPr>
                <w:sz w:val="20"/>
              </w:rPr>
              <w:t>CA000034</w:t>
            </w:r>
          </w:p>
        </w:tc>
        <w:tc>
          <w:tcPr>
            <w:tcW w:type="dxa" w:w="5669"/>
          </w:tcPr>
          <w:p>
            <w:pPr>
              <w:spacing w:before="40" w:after="80" w:lineRule="atLeast" w:line="240"/>
            </w:pPr>
            <w:r>
              <w:rPr>
                <w:sz w:val="20"/>
              </w:rPr>
              <w:t>Joint Crediting Mechanism between the Government of Japan and the Independent State of Papua New Guinea</w:t>
            </w:r>
          </w:p>
        </w:tc>
      </w:tr>
      <w:tr>
        <w:tc>
          <w:tcPr>
            <w:tcW w:type="dxa" w:w="1701"/>
          </w:tcPr>
          <w:p>
            <w:pPr>
              <w:spacing w:before="40" w:after="80" w:lineRule="atLeast" w:line="240"/>
            </w:pPr>
            <w:r>
              <w:rPr>
                <w:sz w:val="20"/>
              </w:rPr>
              <w:t>CA000035</w:t>
            </w:r>
          </w:p>
        </w:tc>
        <w:tc>
          <w:tcPr>
            <w:tcW w:type="dxa" w:w="5669"/>
          </w:tcPr>
          <w:p>
            <w:pPr>
              <w:spacing w:before="40" w:after="80" w:lineRule="atLeast" w:line="240"/>
            </w:pPr>
            <w:r>
              <w:rPr>
                <w:sz w:val="20"/>
              </w:rPr>
              <w:t>Joint Crediting Mechanism between the Government of Japan and the United Arab Emirates</w:t>
            </w:r>
          </w:p>
        </w:tc>
      </w:tr>
      <w:tr>
        <w:tc>
          <w:tcPr>
            <w:tcW w:type="dxa" w:w="1701"/>
          </w:tcPr>
          <w:p>
            <w:pPr>
              <w:spacing w:before="40" w:after="80" w:lineRule="atLeast" w:line="240"/>
            </w:pPr>
            <w:r>
              <w:rPr>
                <w:sz w:val="20"/>
              </w:rPr>
              <w:t>CA000036</w:t>
            </w:r>
          </w:p>
        </w:tc>
        <w:tc>
          <w:tcPr>
            <w:tcW w:type="dxa" w:w="5669"/>
          </w:tcPr>
          <w:p>
            <w:pPr>
              <w:spacing w:before="40" w:after="80" w:lineRule="atLeast" w:line="240"/>
            </w:pPr>
            <w:r>
              <w:rPr>
                <w:sz w:val="20"/>
              </w:rPr>
              <w:t>Joint Crediting Mechanism between the Government of Japan and the Kyrgyz Republic</w:t>
            </w:r>
          </w:p>
        </w:tc>
      </w:tr>
      <w:tr>
        <w:tc>
          <w:tcPr>
            <w:tcW w:type="dxa" w:w="1701"/>
          </w:tcPr>
          <w:p>
            <w:pPr>
              <w:spacing w:before="40" w:after="80" w:lineRule="atLeast" w:line="240"/>
            </w:pPr>
            <w:r>
              <w:rPr>
                <w:sz w:val="20"/>
              </w:rPr>
              <w:t>CA000037</w:t>
            </w:r>
          </w:p>
        </w:tc>
        <w:tc>
          <w:tcPr>
            <w:tcW w:type="dxa" w:w="5669"/>
          </w:tcPr>
          <w:p>
            <w:pPr>
              <w:spacing w:before="40" w:after="80" w:lineRule="atLeast" w:line="240"/>
            </w:pPr>
            <w:r>
              <w:rPr>
                <w:sz w:val="20"/>
              </w:rPr>
              <w:t>Joint Crediting Mechanism between the Government of Japan and the Republic of Kazakhstan</w:t>
            </w:r>
          </w:p>
        </w:tc>
      </w:tr>
      <w:tr>
        <w:tc>
          <w:tcPr>
            <w:tcW w:type="dxa" w:w="1701"/>
          </w:tcPr>
          <w:p>
            <w:pPr>
              <w:spacing w:before="40" w:after="80" w:lineRule="atLeast" w:line="240"/>
            </w:pPr>
            <w:r>
              <w:rPr>
                <w:sz w:val="20"/>
              </w:rPr>
              <w:t>CA000038</w:t>
            </w:r>
          </w:p>
        </w:tc>
        <w:tc>
          <w:tcPr>
            <w:tcW w:type="dxa" w:w="5669"/>
          </w:tcPr>
          <w:p>
            <w:pPr>
              <w:spacing w:before="40" w:after="80" w:lineRule="atLeast" w:line="240"/>
            </w:pPr>
            <w:r>
              <w:rPr>
                <w:sz w:val="20"/>
              </w:rPr>
              <w:t>Joint Crediting Mechanism between the Government of Japan and the Ukraine</w:t>
            </w:r>
          </w:p>
        </w:tc>
      </w:tr>
      <w:tr>
        <w:tc>
          <w:tcPr>
            <w:tcW w:type="dxa" w:w="1701"/>
          </w:tcPr>
          <w:p>
            <w:pPr>
              <w:spacing w:before="40" w:after="80" w:lineRule="atLeast" w:line="240"/>
            </w:pPr>
            <w:r>
              <w:rPr>
                <w:sz w:val="20"/>
              </w:rPr>
              <w:t>CA000039</w:t>
            </w:r>
          </w:p>
        </w:tc>
        <w:tc>
          <w:tcPr>
            <w:tcW w:type="dxa" w:w="5669"/>
          </w:tcPr>
          <w:p>
            <w:pPr>
              <w:spacing w:before="40" w:after="80" w:lineRule="atLeast" w:line="240"/>
            </w:pPr>
            <w:r>
              <w:rPr>
                <w:sz w:val="20"/>
              </w:rPr>
              <w:t>Joint Crediting Mechanism between the Government of Japan and the United Republic of Tanzania</w:t>
            </w:r>
          </w:p>
        </w:tc>
      </w:tr>
      <w:tr>
        <w:tc>
          <w:tcPr>
            <w:tcW w:type="dxa" w:w="1701"/>
          </w:tcPr>
          <w:p>
            <w:pPr>
              <w:spacing w:before="40" w:after="80" w:lineRule="atLeast" w:line="240"/>
            </w:pPr>
            <w:r>
              <w:rPr>
                <w:sz w:val="20"/>
              </w:rPr>
              <w:t>CA000040</w:t>
            </w:r>
          </w:p>
        </w:tc>
        <w:tc>
          <w:tcPr>
            <w:tcW w:type="dxa" w:w="5669"/>
          </w:tcPr>
          <w:p>
            <w:pPr>
              <w:spacing w:before="40" w:after="80" w:lineRule="atLeast" w:line="240"/>
            </w:pPr>
            <w:r>
              <w:rPr>
                <w:sz w:val="20"/>
              </w:rPr>
              <w:t>Rwanda and Singapore</w:t>
            </w:r>
          </w:p>
        </w:tc>
      </w:tr>
      <w:tr>
        <w:tc>
          <w:tcPr>
            <w:tcW w:type="dxa" w:w="1701"/>
            <w:tcBorders>
              <w:bottom w:sz="12" w:val="single" w:color="#000000" w:space="0"/>
            </w:tcBorders>
          </w:tcPr>
          <w:p>
            <w:pPr>
              <w:spacing w:before="40" w:after="80" w:lineRule="atLeast" w:line="240"/>
            </w:pPr>
            <w:r>
              <w:rPr>
                <w:sz w:val="20"/>
              </w:rPr>
              <w:t>CA000041</w:t>
            </w:r>
          </w:p>
        </w:tc>
        <w:tc>
          <w:tcPr>
            <w:tcW w:type="dxa" w:w="5669"/>
            <w:tcBorders>
              <w:bottom w:sz="12" w:val="single" w:color="#000000" w:space="0"/>
            </w:tcBorders>
          </w:tcPr>
          <w:p>
            <w:pPr>
              <w:spacing w:before="40" w:after="80" w:lineRule="atLeast" w:line="240"/>
            </w:pPr>
            <w:r>
              <w:rPr>
                <w:sz w:val="20"/>
              </w:rPr>
              <w:t>Rwanda and Sweden</w:t>
            </w:r>
          </w:p>
        </w:tc>
      </w:tr>
    </w:tbl>
    <w:p>
      <w:pPr>
        <w:spacing w:before="0" w:after="120"/>
      </w:pPr>
    </w:p>
    <w:p>
      <w:pPr>
        <w:keepNext/>
        <w:spacing w:before="0" w:after="120"/>
        <w:ind w:left="1134"/>
      </w:pPr>
      <w:r>
        <w:t>Table 10</w:t>
        <w:br/>
      </w:r>
      <w:r>
        <w:rPr>
          <w:b/>
        </w:rPr>
        <w:t>Authorization version: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version number of the authorization.  This is an integer.</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Version of the authorization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AuthorizationVersion</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11</w:t>
        <w:br/>
      </w:r>
      <w:r>
        <w:rPr>
          <w:b/>
        </w:rPr>
        <w:t>Authorized quantity: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optional. It may be used to specify the maximum quantity of mitigation outcomes that are authorized for use towards an NDC and/or OIMP.</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Authorized quantity</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AuthorizedQuantity</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12(a)</w:t>
        <w:br/>
      </w:r>
      <w:r>
        <w:rPr>
          <w:b/>
        </w:rPr>
        <w:t>Metric: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metric used to measure the ITMO.</w:t>
              <w:br/>
              <w:t>Must be either "GHG" or "non-GHG".</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Metric</w:t>
              <w:br/>
              <w:t>Actions: Metric</w:t>
              <w:br/>
              <w:t>Holdings: Metric</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Metric</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12(b) below</w:t>
            </w:r>
          </w:p>
        </w:tc>
      </w:tr>
    </w:tbl>
    <w:p>
      <w:pPr>
        <w:spacing w:before="0" w:after="120"/>
      </w:pPr>
    </w:p>
    <w:p>
      <w:pPr>
        <w:spacing w:before="0" w:after="120"/>
        <w:ind w:left="1134"/>
      </w:pPr>
      <w:r>
        <w:t>Table 12(b)</w:t>
        <w:br/>
      </w:r>
      <w:r>
        <w:rPr>
          <w:b/>
        </w:rPr>
        <w:t>Metric: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GHG</w:t>
            </w:r>
          </w:p>
        </w:tc>
        <w:tc>
          <w:tcPr>
            <w:tcW w:type="dxa" w:w="5669"/>
          </w:tcPr>
          <w:p>
            <w:pPr>
              <w:spacing w:before="40" w:after="80" w:lineRule="atLeast" w:line="240"/>
            </w:pPr>
            <w:r>
              <w:rPr>
                <w:sz w:val="20"/>
              </w:rPr>
              <w:t>ITMO is measured in tonnes Carbon Dioxide equivalent</w:t>
            </w:r>
          </w:p>
        </w:tc>
      </w:tr>
      <w:tr>
        <w:tc>
          <w:tcPr>
            <w:tcW w:type="dxa" w:w="1701"/>
            <w:tcBorders>
              <w:bottom w:sz="12" w:val="single" w:color="#000000" w:space="0"/>
            </w:tcBorders>
          </w:tcPr>
          <w:p>
            <w:pPr>
              <w:spacing w:before="40" w:after="80" w:lineRule="atLeast" w:line="240"/>
            </w:pPr>
            <w:r>
              <w:rPr>
                <w:sz w:val="20"/>
              </w:rPr>
              <w:t>non-GHG</w:t>
            </w:r>
          </w:p>
        </w:tc>
        <w:tc>
          <w:tcPr>
            <w:tcW w:type="dxa" w:w="5669"/>
            <w:tcBorders>
              <w:bottom w:sz="12" w:val="single" w:color="#000000" w:space="0"/>
            </w:tcBorders>
          </w:tcPr>
          <w:p>
            <w:pPr>
              <w:spacing w:before="40" w:after="80" w:lineRule="atLeast" w:line="240"/>
            </w:pPr>
            <w:r>
              <w:rPr>
                <w:sz w:val="20"/>
              </w:rPr>
              <w:t>ITMO is not measured in tonnes Carbon Dioxide equivalent</w:t>
            </w:r>
          </w:p>
        </w:tc>
      </w:tr>
    </w:tbl>
    <w:p>
      <w:pPr>
        <w:spacing w:before="0" w:after="120"/>
      </w:pPr>
    </w:p>
    <w:p>
      <w:pPr>
        <w:keepNext/>
        <w:spacing w:before="0" w:after="120"/>
        <w:ind w:left="1134"/>
      </w:pPr>
      <w:r>
        <w:t>Table 13</w:t>
        <w:br/>
      </w:r>
      <w:r>
        <w:rPr>
          <w:b/>
        </w:rPr>
        <w:t>Applicable GWP values: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If the mitigation outcome involves a non-CO2 greenhouse gas(es), the global warming potential (GWP) value(s) applied, consistent with the relevant CMA decisions (e.g.,'100-year values from 5th assessment report by the IPCC').</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Applicable GWP value(s)</w:t>
              <w:br/>
              <w:t>Actions: Applicable GWP values(s)</w:t>
              <w:br/>
              <w:t>Holdings: Applicable GWP value(s)</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GWPValues</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14</w:t>
        <w:br/>
      </w:r>
      <w:r>
        <w:rPr>
          <w:b/>
        </w:rPr>
        <w:t>Applicable non-GHG metric: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Type of non-GHG metric applied (e.g., ‘megawatt hours of renewable electricity generation'). This field should be reported as ‘Not applicable' (NA), or left blank, if the ITMOs are in a GHG metric.</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Applicable non-GHG metric</w:t>
              <w:br/>
              <w:t>Actions: Applicable non-GHG metric</w:t>
              <w:br/>
              <w:t>Holdings: Applicable non-GHG metric</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Non-GHGMetric</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15(a)</w:t>
        <w:br/>
      </w:r>
      <w:r>
        <w:rPr>
          <w:b/>
        </w:rPr>
        <w:t>Sectors: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One or more sectors where the mitigation outcome occurred based on IPCC guidelines.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Sector(s)</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Sectors</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15(b) below</w:t>
            </w:r>
          </w:p>
        </w:tc>
      </w:tr>
    </w:tbl>
    <w:p>
      <w:pPr>
        <w:spacing w:before="0" w:after="120"/>
      </w:pPr>
    </w:p>
    <w:p>
      <w:pPr>
        <w:spacing w:before="0" w:after="120"/>
        <w:ind w:left="1134"/>
      </w:pPr>
      <w:r>
        <w:t>Table 15(b)</w:t>
        <w:br/>
      </w:r>
      <w:r>
        <w:rPr>
          <w:b/>
        </w:rPr>
        <w:t>Sectors: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Agriculture</w:t>
            </w:r>
          </w:p>
        </w:tc>
        <w:tc>
          <w:tcPr>
            <w:tcW w:type="dxa" w:w="5669"/>
          </w:tcPr>
          <w:p>
            <w:pPr>
              <w:spacing w:before="40" w:after="80" w:lineRule="atLeast" w:line="240"/>
            </w:pPr>
            <w:r>
              <w:rPr>
                <w:sz w:val="20"/>
              </w:rPr>
              <w:t>Methane reduction nitrous oxide emission reduction are some examples of initiatives aimed at the agriculture sector, sustainable fish production, etc.</w:t>
            </w:r>
          </w:p>
        </w:tc>
      </w:tr>
      <w:tr>
        <w:tc>
          <w:tcPr>
            <w:tcW w:type="dxa" w:w="1701"/>
          </w:tcPr>
          <w:p>
            <w:pPr>
              <w:spacing w:before="40" w:after="80" w:lineRule="atLeast" w:line="240"/>
            </w:pPr>
            <w:r>
              <w:rPr>
                <w:sz w:val="20"/>
              </w:rPr>
              <w:t>Building and construction</w:t>
            </w:r>
          </w:p>
        </w:tc>
        <w:tc>
          <w:tcPr>
            <w:tcW w:type="dxa" w:w="5669"/>
          </w:tcPr>
          <w:p>
            <w:pPr>
              <w:spacing w:before="40" w:after="80" w:lineRule="atLeast" w:line="240"/>
            </w:pPr>
            <w:r>
              <w:rPr>
                <w:sz w:val="20"/>
              </w:rPr>
              <w:t>Zero-energy and passive houses, green roofs and walls for urban buildings, smart grids and building automation systems, sustainable urban drainage systems, climateadaptive urban planning.</w:t>
            </w:r>
          </w:p>
        </w:tc>
      </w:tr>
      <w:tr>
        <w:tc>
          <w:tcPr>
            <w:tcW w:type="dxa" w:w="1701"/>
          </w:tcPr>
          <w:p>
            <w:pPr>
              <w:spacing w:before="40" w:after="80" w:lineRule="atLeast" w:line="240"/>
            </w:pPr>
            <w:r>
              <w:rPr>
                <w:sz w:val="20"/>
              </w:rPr>
              <w:t>Cross-sectoral mechanisms</w:t>
            </w:r>
          </w:p>
        </w:tc>
        <w:tc>
          <w:tcPr>
            <w:tcW w:type="dxa" w:w="5669"/>
          </w:tcPr>
          <w:p>
            <w:pPr>
              <w:spacing w:before="40" w:after="80" w:lineRule="atLeast" w:line="240"/>
            </w:pPr>
            <w:r>
              <w:rPr>
                <w:sz w:val="20"/>
              </w:rPr>
              <w:t>ITMOs that cannot be associated to a specific sector since they are the net flow of mitigation outcomes coming from a different mechanism.</w:t>
            </w:r>
          </w:p>
        </w:tc>
      </w:tr>
      <w:tr>
        <w:tc>
          <w:tcPr>
            <w:tcW w:type="dxa" w:w="1701"/>
          </w:tcPr>
          <w:p>
            <w:pPr>
              <w:spacing w:before="40" w:after="80" w:lineRule="atLeast" w:line="240"/>
            </w:pPr>
            <w:r>
              <w:rPr>
                <w:sz w:val="20"/>
              </w:rPr>
              <w:t>Energy generation</w:t>
            </w:r>
          </w:p>
        </w:tc>
        <w:tc>
          <w:tcPr>
            <w:tcW w:type="dxa" w:w="5669"/>
          </w:tcPr>
          <w:p>
            <w:pPr>
              <w:spacing w:before="40" w:after="80" w:lineRule="atLeast" w:line="240"/>
            </w:pPr>
            <w:r>
              <w:rPr>
                <w:sz w:val="20"/>
              </w:rPr>
              <w:t>Wind farms, offshore wind power, solar farms, hydroelectric plants, geothermal heating and cooling solutions or biomass energy, etc.</w:t>
            </w:r>
          </w:p>
        </w:tc>
      </w:tr>
      <w:tr>
        <w:tc>
          <w:tcPr>
            <w:tcW w:type="dxa" w:w="1701"/>
          </w:tcPr>
          <w:p>
            <w:pPr>
              <w:spacing w:before="40" w:after="80" w:lineRule="atLeast" w:line="240"/>
            </w:pPr>
            <w:r>
              <w:rPr>
                <w:sz w:val="20"/>
              </w:rPr>
              <w:t>Forestry and land use</w:t>
            </w:r>
          </w:p>
        </w:tc>
        <w:tc>
          <w:tcPr>
            <w:tcW w:type="dxa" w:w="5669"/>
          </w:tcPr>
          <w:p>
            <w:pPr>
              <w:spacing w:before="40" w:after="80" w:lineRule="atLeast" w:line="240"/>
            </w:pPr>
            <w:r>
              <w:rPr>
                <w:sz w:val="20"/>
              </w:rPr>
              <w:t>Mangrove restoration, seagrass plantation, urban forestry and green spaces development, peatland restoration and conservation, soil carbon enhancement, land-use planning for reduced urban sprawl.</w:t>
            </w:r>
          </w:p>
        </w:tc>
      </w:tr>
      <w:tr>
        <w:tc>
          <w:tcPr>
            <w:tcW w:type="dxa" w:w="1701"/>
          </w:tcPr>
          <w:p>
            <w:pPr>
              <w:spacing w:before="40" w:after="80" w:lineRule="atLeast" w:line="240"/>
            </w:pPr>
            <w:r>
              <w:rPr>
                <w:sz w:val="20"/>
              </w:rPr>
              <w:t>Industrial processes</w:t>
            </w:r>
          </w:p>
        </w:tc>
        <w:tc>
          <w:tcPr>
            <w:tcW w:type="dxa" w:w="5669"/>
          </w:tcPr>
          <w:p>
            <w:pPr>
              <w:spacing w:before="40" w:after="80" w:lineRule="atLeast" w:line="240"/>
            </w:pPr>
            <w:r>
              <w:rPr>
                <w:sz w:val="20"/>
              </w:rPr>
              <w:t>Fuel switching, carbon capture and storage (CCS), green chemistry, waste gas and heat recovery.</w:t>
            </w:r>
          </w:p>
        </w:tc>
      </w:tr>
      <w:tr>
        <w:tc>
          <w:tcPr>
            <w:tcW w:type="dxa" w:w="1701"/>
          </w:tcPr>
          <w:p>
            <w:pPr>
              <w:spacing w:before="40" w:after="80" w:lineRule="atLeast" w:line="240"/>
            </w:pPr>
            <w:r>
              <w:rPr>
                <w:sz w:val="20"/>
              </w:rPr>
              <w:t>Transportation</w:t>
            </w:r>
          </w:p>
        </w:tc>
        <w:tc>
          <w:tcPr>
            <w:tcW w:type="dxa" w:w="5669"/>
          </w:tcPr>
          <w:p>
            <w:pPr>
              <w:spacing w:before="40" w:after="80" w:lineRule="atLeast" w:line="240"/>
            </w:pPr>
            <w:r>
              <w:rPr>
                <w:sz w:val="20"/>
              </w:rPr>
              <w:t>Hydrogen fuel cell vehicles and refueling infrastructure, sustainable biofuels for aviation and shipping, electric public transit systems, active transport infrastructure (bike lanes, pedestrian zones), smart logistics and freight transport efficiency.</w:t>
            </w:r>
          </w:p>
        </w:tc>
      </w:tr>
      <w:tr>
        <w:tc>
          <w:tcPr>
            <w:tcW w:type="dxa" w:w="1701"/>
          </w:tcPr>
          <w:p>
            <w:pPr>
              <w:spacing w:before="40" w:after="80" w:lineRule="atLeast" w:line="240"/>
            </w:pPr>
            <w:r>
              <w:rPr>
                <w:sz w:val="20"/>
              </w:rPr>
              <w:t>Urban development</w:t>
            </w:r>
          </w:p>
        </w:tc>
        <w:tc>
          <w:tcPr>
            <w:tcW w:type="dxa" w:w="5669"/>
          </w:tcPr>
          <w:p>
            <w:pPr>
              <w:spacing w:before="40" w:after="80" w:lineRule="atLeast" w:line="240"/>
            </w:pPr>
            <w:r>
              <w:rPr>
                <w:sz w:val="20"/>
              </w:rPr>
              <w:t>Vegetative cover, afforestation, permeable surfaces, green roofs, rain gardens, bioretention swales, natural and constructed wetlands, converting abandoned industrial sites into urban parks.</w:t>
            </w:r>
          </w:p>
        </w:tc>
      </w:tr>
      <w:tr>
        <w:tc>
          <w:tcPr>
            <w:tcW w:type="dxa" w:w="1701"/>
            <w:tcBorders>
              <w:bottom w:sz="12" w:val="single" w:color="#000000" w:space="0"/>
            </w:tcBorders>
          </w:tcPr>
          <w:p>
            <w:pPr>
              <w:spacing w:before="40" w:after="80" w:lineRule="atLeast" w:line="240"/>
            </w:pPr>
            <w:r>
              <w:rPr>
                <w:sz w:val="20"/>
              </w:rPr>
              <w:t>Waste management</w:t>
            </w:r>
          </w:p>
        </w:tc>
        <w:tc>
          <w:tcPr>
            <w:tcW w:type="dxa" w:w="5669"/>
            <w:tcBorders>
              <w:bottom w:sz="12" w:val="single" w:color="#000000" w:space="0"/>
            </w:tcBorders>
          </w:tcPr>
          <w:p>
            <w:pPr>
              <w:spacing w:before="40" w:after="80" w:lineRule="atLeast" w:line="240"/>
            </w:pPr>
            <w:r>
              <w:rPr>
                <w:sz w:val="20"/>
              </w:rPr>
              <w:t>Methane capture from landfills, waste-to-energy projects, Advanced recycling technologies, Biogas generation from organic waste, Circular economy models for industries (sharing, repairing, recycling), and the reduction of organic waste through composting and anaerobic digestion.</w:t>
            </w:r>
          </w:p>
        </w:tc>
      </w:tr>
    </w:tbl>
    <w:p>
      <w:pPr>
        <w:spacing w:before="0" w:after="120"/>
      </w:pPr>
    </w:p>
    <w:p>
      <w:pPr>
        <w:keepNext/>
        <w:spacing w:before="0" w:after="120"/>
        <w:ind w:left="1134"/>
      </w:pPr>
      <w:r>
        <w:t>Table 16(a)</w:t>
        <w:br/>
      </w:r>
      <w:r>
        <w:rPr>
          <w:b/>
        </w:rPr>
        <w:t>Purpose for authorization: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Purpose for authorization of ITMOs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17(j)</w:t>
              <w:br/>
              <w:t>Decision 6/CMA.4, Annex VII</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Purposes for authorization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PurposeForAuthorization</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16(b) below</w:t>
            </w:r>
          </w:p>
        </w:tc>
      </w:tr>
    </w:tbl>
    <w:p>
      <w:pPr>
        <w:spacing w:before="0" w:after="120"/>
      </w:pPr>
    </w:p>
    <w:p>
      <w:pPr>
        <w:spacing w:before="0" w:after="120"/>
        <w:ind w:left="1134"/>
      </w:pPr>
      <w:r>
        <w:t>Table 16(b)</w:t>
        <w:br/>
      </w:r>
      <w:r>
        <w:rPr>
          <w:b/>
        </w:rPr>
        <w:t>Purpose for authorization: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NDC</w:t>
            </w:r>
          </w:p>
        </w:tc>
        <w:tc>
          <w:tcPr>
            <w:tcW w:type="dxa" w:w="5669"/>
          </w:tcPr>
          <w:p>
            <w:pPr>
              <w:spacing w:before="40" w:after="80" w:lineRule="atLeast" w:line="240"/>
            </w:pPr>
            <w:r>
              <w:rPr>
                <w:sz w:val="20"/>
              </w:rPr>
              <w:t>ITMOs that are authorized to be used towards NDC (nationally determined contribution) achievement.</w:t>
            </w:r>
          </w:p>
        </w:tc>
      </w:tr>
      <w:tr>
        <w:tc>
          <w:tcPr>
            <w:tcW w:type="dxa" w:w="1701"/>
          </w:tcPr>
          <w:p>
            <w:pPr>
              <w:spacing w:before="40" w:after="80" w:lineRule="atLeast" w:line="240"/>
            </w:pPr>
            <w:r>
              <w:rPr>
                <w:sz w:val="20"/>
              </w:rPr>
              <w:t>OIMP</w:t>
            </w:r>
          </w:p>
        </w:tc>
        <w:tc>
          <w:tcPr>
            <w:tcW w:type="dxa" w:w="5669"/>
          </w:tcPr>
          <w:p>
            <w:pPr>
              <w:spacing w:before="40" w:after="80" w:lineRule="atLeast" w:line="240"/>
            </w:pPr>
            <w:r>
              <w:rPr>
                <w:sz w:val="20"/>
              </w:rPr>
              <w:t>ITMOs that are authorized to be used for cancelled for OIMP (other international mitigation purposes).</w:t>
            </w:r>
          </w:p>
        </w:tc>
      </w:tr>
      <w:tr>
        <w:tc>
          <w:tcPr>
            <w:tcW w:type="dxa" w:w="1701"/>
          </w:tcPr>
          <w:p>
            <w:pPr>
              <w:spacing w:before="40" w:after="80" w:lineRule="atLeast" w:line="240"/>
            </w:pPr>
            <w:r>
              <w:rPr>
                <w:sz w:val="20"/>
              </w:rPr>
              <w:t>IMP</w:t>
            </w:r>
          </w:p>
        </w:tc>
        <w:tc>
          <w:tcPr>
            <w:tcW w:type="dxa" w:w="5669"/>
          </w:tcPr>
          <w:p>
            <w:pPr>
              <w:spacing w:before="40" w:after="80" w:lineRule="atLeast" w:line="240"/>
            </w:pPr>
            <w:r>
              <w:rPr>
                <w:sz w:val="20"/>
              </w:rPr>
              <w:t>ITMOs that are authorized to be used for cancelled for IMP (international mitigation purposes).</w:t>
            </w:r>
          </w:p>
        </w:tc>
      </w:tr>
      <w:tr>
        <w:tc>
          <w:tcPr>
            <w:tcW w:type="dxa" w:w="1701"/>
          </w:tcPr>
          <w:p>
            <w:pPr>
              <w:spacing w:before="40" w:after="80" w:lineRule="atLeast" w:line="240"/>
            </w:pPr>
            <w:r>
              <w:rPr>
                <w:sz w:val="20"/>
              </w:rPr>
              <w:t>OP</w:t>
            </w:r>
          </w:p>
        </w:tc>
        <w:tc>
          <w:tcPr>
            <w:tcW w:type="dxa" w:w="5669"/>
          </w:tcPr>
          <w:p>
            <w:pPr>
              <w:spacing w:before="40" w:after="80" w:lineRule="atLeast" w:line="240"/>
            </w:pPr>
            <w:r>
              <w:rPr>
                <w:sz w:val="20"/>
              </w:rPr>
              <w:t>ITMOs that are authorized to be used for cancelled for OP (other purposes).</w:t>
            </w:r>
          </w:p>
        </w:tc>
      </w:tr>
      <w:tr>
        <w:tc>
          <w:tcPr>
            <w:tcW w:type="dxa" w:w="1701"/>
          </w:tcPr>
          <w:p>
            <w:pPr>
              <w:spacing w:before="40" w:after="80" w:lineRule="atLeast" w:line="240"/>
            </w:pPr>
            <w:r>
              <w:rPr>
                <w:sz w:val="20"/>
              </w:rPr>
              <w:t>NDC and OIMP</w:t>
            </w:r>
          </w:p>
        </w:tc>
        <w:tc>
          <w:tcPr>
            <w:tcW w:type="dxa" w:w="5669"/>
          </w:tcPr>
          <w:p>
            <w:pPr>
              <w:spacing w:before="40" w:after="80" w:lineRule="atLeast" w:line="240"/>
            </w:pPr>
            <w:r>
              <w:rPr>
                <w:sz w:val="20"/>
              </w:rPr>
              <w:t>ITMOs that are authorized to be used towards NDC (nationally determined contribution) achievement;</w:t>
              <w:br/>
              <w:t>and be used or cancelled for OIMP (other international mitigation purposes).</w:t>
            </w:r>
          </w:p>
        </w:tc>
      </w:tr>
      <w:tr>
        <w:tc>
          <w:tcPr>
            <w:tcW w:type="dxa" w:w="1701"/>
          </w:tcPr>
          <w:p>
            <w:pPr>
              <w:spacing w:before="40" w:after="80" w:lineRule="atLeast" w:line="240"/>
            </w:pPr>
            <w:r>
              <w:rPr>
                <w:sz w:val="20"/>
              </w:rPr>
              <w:t>NDC and IMP</w:t>
            </w:r>
          </w:p>
        </w:tc>
        <w:tc>
          <w:tcPr>
            <w:tcW w:type="dxa" w:w="5669"/>
          </w:tcPr>
          <w:p>
            <w:pPr>
              <w:spacing w:before="40" w:after="80" w:lineRule="atLeast" w:line="240"/>
            </w:pPr>
            <w:r>
              <w:rPr>
                <w:sz w:val="20"/>
              </w:rPr>
              <w:t>ITMOs that are authorized to be used towards NDC (nationally determined contribution) achievement;</w:t>
              <w:br/>
              <w:t>and be used or cancelled for IMP (international mitigation purposes).</w:t>
            </w:r>
          </w:p>
        </w:tc>
      </w:tr>
      <w:tr>
        <w:tc>
          <w:tcPr>
            <w:tcW w:type="dxa" w:w="1701"/>
            <w:tcBorders>
              <w:bottom w:sz="12" w:val="single" w:color="#000000" w:space="0"/>
            </w:tcBorders>
          </w:tcPr>
          <w:p>
            <w:pPr>
              <w:spacing w:before="40" w:after="80" w:lineRule="atLeast" w:line="240"/>
            </w:pPr>
            <w:r>
              <w:rPr>
                <w:sz w:val="20"/>
              </w:rPr>
              <w:t>NDC and OP</w:t>
            </w:r>
          </w:p>
        </w:tc>
        <w:tc>
          <w:tcPr>
            <w:tcW w:type="dxa" w:w="5669"/>
            <w:tcBorders>
              <w:bottom w:sz="12" w:val="single" w:color="#000000" w:space="0"/>
            </w:tcBorders>
          </w:tcPr>
          <w:p>
            <w:pPr>
              <w:spacing w:before="40" w:after="80" w:lineRule="atLeast" w:line="240"/>
            </w:pPr>
            <w:r>
              <w:rPr>
                <w:sz w:val="20"/>
              </w:rPr>
              <w:t>ITMOs that are authorized to be used towards NDC (nationally determined contribution) achievement;</w:t>
              <w:br/>
              <w:t>and be used or cancelled for OP (other purposes).</w:t>
            </w:r>
          </w:p>
        </w:tc>
      </w:tr>
    </w:tbl>
    <w:p>
      <w:pPr>
        <w:spacing w:before="0" w:after="120"/>
      </w:pPr>
    </w:p>
    <w:p>
      <w:pPr>
        <w:keepNext/>
        <w:spacing w:before="0" w:after="120"/>
        <w:ind w:left="1134"/>
      </w:pPr>
      <w:r>
        <w:t>Table 17</w:t>
        <w:br/>
      </w:r>
      <w:r>
        <w:rPr>
          <w:b/>
        </w:rPr>
        <w:t>Authorized Party IDs: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Parties may authorize mitigation outcomes for use by any Party or for a specific Party(ies). Where a specific Party(ies) is specified, the unique identifier of that Party(ies) is entered here as per common nomenclatures.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Authorized Party(ies)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AuthorizedPartyIDs</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18</w:t>
        <w:br/>
      </w:r>
      <w:r>
        <w:rPr>
          <w:b/>
        </w:rPr>
        <w:t>Authorized Entities: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Unique identifier of the entities that are authorized within cooperative approach, if applicable.</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Authorized entity(ies)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AuthorizedEntityIDs</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19</w:t>
        <w:br/>
      </w:r>
      <w:r>
        <w:rPr>
          <w:b/>
        </w:rPr>
        <w:t>OIMP authorized by the Party: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only applicable if the authorization is for OIMP. This field specifies the other international mitigation purpose (OIMP), which may be an international mitigation purpose (IMP) or other purpose (OP). The specific purpose (e.g., use under the Carbon Offsetting and Reduction Scheme for International Aviation) is entered in this field.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OIMP authorized by the Party</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OIMPAuthorized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20</w:t>
        <w:br/>
      </w:r>
      <w:r>
        <w:rPr>
          <w:b/>
        </w:rPr>
        <w:t>Authorized timeframe: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optional. It may be filled to specify the timeframe for which mitigation outcomes may occur (e.g., from 2021 - 2030) that are covered under the authorization and/or the time frame in which the mitigation outcomes may be used (e.g. from 2021 - 2030).</w:t>
              <w:br/>
              <w:t>If specified it must in the format of 4-digit years, separated by a hyphen: "dddd - dddd".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Authorized timeframe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AuthorizedTimeframe</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21</w:t>
        <w:br/>
      </w:r>
      <w:r>
        <w:rPr>
          <w:b/>
        </w:rPr>
        <w:t>Authorized terms and conditions: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optional. It may be completed to specify the terms and conditions under which the authorization is provided.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Authorization terms and conditions</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AuthorizationT&amp;Cs</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22(a)</w:t>
        <w:br/>
      </w:r>
      <w:r>
        <w:rPr>
          <w:b/>
        </w:rPr>
        <w:t>First transfer definition for OIMP: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only applicable to authorizations for use towards OIMP. This field specifies the first transfer definition used by the Party pursuant to decision 2/CMA.3, annex, para. 2(b). 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First transfer definition for OIMP</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FirstTransferDefnForOIMP</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22(b) below</w:t>
            </w:r>
          </w:p>
        </w:tc>
      </w:tr>
    </w:tbl>
    <w:p>
      <w:pPr>
        <w:spacing w:before="0" w:after="120"/>
      </w:pPr>
    </w:p>
    <w:p>
      <w:pPr>
        <w:spacing w:before="0" w:after="120"/>
        <w:ind w:left="1134"/>
      </w:pPr>
      <w:r>
        <w:t>Table 22(b)</w:t>
        <w:br/>
      </w:r>
      <w:r>
        <w:rPr>
          <w:b/>
        </w:rPr>
        <w:t>First transfer definition for OIMP: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Authorisation</w:t>
            </w:r>
          </w:p>
        </w:tc>
        <w:tc>
          <w:tcPr>
            <w:tcW w:type="dxa" w:w="5669"/>
          </w:tcPr>
          <w:p>
            <w:pPr>
              <w:spacing w:before="40" w:after="80" w:lineRule="atLeast" w:line="240"/>
            </w:pPr>
            <w:r>
              <w:rPr>
                <w:sz w:val="20"/>
              </w:rPr>
              <w:t>First transfer defined for ITMOs that are authorized for OIMP pursuant 2 (b)(1) Authorisation, Annex, 2/CMA.3.</w:t>
            </w:r>
          </w:p>
        </w:tc>
      </w:tr>
      <w:tr>
        <w:tc>
          <w:tcPr>
            <w:tcW w:type="dxa" w:w="1701"/>
          </w:tcPr>
          <w:p>
            <w:pPr>
              <w:spacing w:before="40" w:after="80" w:lineRule="atLeast" w:line="240"/>
            </w:pPr>
            <w:r>
              <w:rPr>
                <w:sz w:val="20"/>
              </w:rPr>
              <w:t>Issuance</w:t>
            </w:r>
          </w:p>
        </w:tc>
        <w:tc>
          <w:tcPr>
            <w:tcW w:type="dxa" w:w="5669"/>
          </w:tcPr>
          <w:p>
            <w:pPr>
              <w:spacing w:before="40" w:after="80" w:lineRule="atLeast" w:line="240"/>
            </w:pPr>
            <w:r>
              <w:rPr>
                <w:sz w:val="20"/>
              </w:rPr>
              <w:t>First transfer defined for ITMOs that are authorized for OIMP pursuant 2 (b)(2) Issuance, Annex, 2/CMA.3.</w:t>
            </w:r>
          </w:p>
        </w:tc>
      </w:tr>
      <w:tr>
        <w:tc>
          <w:tcPr>
            <w:tcW w:type="dxa" w:w="1701"/>
            <w:tcBorders>
              <w:bottom w:sz="12" w:val="single" w:color="#000000" w:space="0"/>
            </w:tcBorders>
          </w:tcPr>
          <w:p>
            <w:pPr>
              <w:spacing w:before="40" w:after="80" w:lineRule="atLeast" w:line="240"/>
            </w:pPr>
            <w:r>
              <w:rPr>
                <w:sz w:val="20"/>
              </w:rPr>
              <w:t>Use or Cancellation</w:t>
            </w:r>
          </w:p>
        </w:tc>
        <w:tc>
          <w:tcPr>
            <w:tcW w:type="dxa" w:w="5669"/>
            <w:tcBorders>
              <w:bottom w:sz="12" w:val="single" w:color="#000000" w:space="0"/>
            </w:tcBorders>
          </w:tcPr>
          <w:p>
            <w:pPr>
              <w:spacing w:before="40" w:after="80" w:lineRule="atLeast" w:line="240"/>
            </w:pPr>
            <w:r>
              <w:rPr>
                <w:sz w:val="20"/>
              </w:rPr>
              <w:t>First transfer defined for ITMOs that are authorized for OIMP pursuant 2 (b)(3) Use or Cancellation, Annex, 2/CMA.3.</w:t>
            </w:r>
          </w:p>
        </w:tc>
      </w:tr>
    </w:tbl>
    <w:p>
      <w:pPr>
        <w:spacing w:before="0" w:after="120"/>
      </w:pPr>
    </w:p>
    <w:p>
      <w:pPr>
        <w:keepNext/>
        <w:spacing w:before="0" w:after="120"/>
        <w:ind w:left="1134"/>
      </w:pPr>
      <w:r>
        <w:t>Table 23</w:t>
        <w:br/>
      </w:r>
      <w:r>
        <w:rPr>
          <w:b/>
        </w:rPr>
        <w:t>Additional explanatory information: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optional. The Party may use this field to provide any additional information.</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Authorizations: Additional explanatory information</w:t>
              <w:br/>
              <w:t>Actions: Additional explanatory information</w:t>
              <w:br/>
              <w:t>Authorized entities: Additional explanatory information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AdditionalExplanatoryInformation</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24</w:t>
        <w:br/>
      </w:r>
      <w:r>
        <w:rPr>
          <w:b/>
        </w:rPr>
        <w:t>Action date-time: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 8601 timestamp of the action:"&lt;yyyy-mm-dd&gt;T&lt;hh:mm:ss.sss&gt;Z".</w:t>
              <w:br/>
              <w:t>The 'Z' denotes that all timestamps to be provided with zero UTC offset</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Action date-time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ActionDateTime</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25(a)</w:t>
        <w:br/>
      </w:r>
      <w:r>
        <w:rPr>
          <w:b/>
        </w:rPr>
        <w:t>Action Type: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Actions to be reported by Partipating Parties, pursuant Decision 2/CMA.3, Annex, paragraph 20(a), paragraph 29.</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br/>
              <w:t>Decision 2/CMA.3, Annex, paragraph 20(a), paragraph 29.</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Action type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ActionType</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25(b) below</w:t>
            </w:r>
          </w:p>
        </w:tc>
      </w:tr>
    </w:tbl>
    <w:p>
      <w:pPr>
        <w:spacing w:before="0" w:after="120"/>
      </w:pPr>
    </w:p>
    <w:p>
      <w:pPr>
        <w:spacing w:before="0" w:after="120"/>
        <w:ind w:left="1134"/>
      </w:pPr>
      <w:r>
        <w:t>Table 25(b)</w:t>
        <w:br/>
      </w:r>
      <w:r>
        <w:rPr>
          <w:b/>
        </w:rPr>
        <w:t>Action Type: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Authorization</w:t>
            </w:r>
          </w:p>
        </w:tc>
        <w:tc>
          <w:tcPr>
            <w:tcW w:type="dxa" w:w="5669"/>
          </w:tcPr>
          <w:p>
            <w:pPr>
              <w:spacing w:before="40" w:after="80" w:lineRule="atLeast" w:line="240"/>
            </w:pPr>
            <w:r>
              <w:rPr>
                <w:sz w:val="20"/>
              </w:rPr>
              <w:t>Used when reporting the authorization of an ITMO.</w:t>
            </w:r>
          </w:p>
        </w:tc>
      </w:tr>
      <w:tr>
        <w:tc>
          <w:tcPr>
            <w:tcW w:type="dxa" w:w="1701"/>
          </w:tcPr>
          <w:p>
            <w:pPr>
              <w:spacing w:before="40" w:after="80" w:lineRule="atLeast" w:line="240"/>
            </w:pPr>
            <w:r>
              <w:rPr>
                <w:sz w:val="20"/>
              </w:rPr>
              <w:t>First transfer</w:t>
            </w:r>
          </w:p>
        </w:tc>
        <w:tc>
          <w:tcPr>
            <w:tcW w:type="dxa" w:w="5669"/>
          </w:tcPr>
          <w:p>
            <w:pPr>
              <w:spacing w:before="40" w:after="80" w:lineRule="atLeast" w:line="240"/>
            </w:pPr>
            <w:r>
              <w:rPr>
                <w:sz w:val="20"/>
              </w:rPr>
              <w:t>Used when reporting the international transfer of an ITMO.</w:t>
            </w:r>
          </w:p>
        </w:tc>
      </w:tr>
      <w:tr>
        <w:tc>
          <w:tcPr>
            <w:tcW w:type="dxa" w:w="1701"/>
          </w:tcPr>
          <w:p>
            <w:pPr>
              <w:spacing w:before="40" w:after="80" w:lineRule="atLeast" w:line="240"/>
            </w:pPr>
            <w:r>
              <w:rPr>
                <w:sz w:val="20"/>
              </w:rPr>
              <w:t>Transfer</w:t>
            </w:r>
          </w:p>
        </w:tc>
        <w:tc>
          <w:tcPr>
            <w:tcW w:type="dxa" w:w="5669"/>
          </w:tcPr>
          <w:p>
            <w:pPr>
              <w:spacing w:before="40" w:after="80" w:lineRule="atLeast" w:line="240"/>
            </w:pPr>
            <w:r>
              <w:rPr>
                <w:sz w:val="20"/>
              </w:rPr>
              <w:t>Used when reporting the international transfer of an ITMO.</w:t>
            </w:r>
          </w:p>
        </w:tc>
      </w:tr>
      <w:tr>
        <w:tc>
          <w:tcPr>
            <w:tcW w:type="dxa" w:w="1701"/>
          </w:tcPr>
          <w:p>
            <w:pPr>
              <w:spacing w:before="40" w:after="80" w:lineRule="atLeast" w:line="240"/>
            </w:pPr>
            <w:r>
              <w:rPr>
                <w:sz w:val="20"/>
              </w:rPr>
              <w:t>Acquisition</w:t>
            </w:r>
          </w:p>
        </w:tc>
        <w:tc>
          <w:tcPr>
            <w:tcW w:type="dxa" w:w="5669"/>
          </w:tcPr>
          <w:p>
            <w:pPr>
              <w:spacing w:before="40" w:after="80" w:lineRule="atLeast" w:line="240"/>
            </w:pPr>
            <w:r>
              <w:rPr>
                <w:sz w:val="20"/>
              </w:rPr>
              <w:t>Used when reporting the international acquisition of an ITMO.</w:t>
            </w:r>
          </w:p>
        </w:tc>
      </w:tr>
      <w:tr>
        <w:tc>
          <w:tcPr>
            <w:tcW w:type="dxa" w:w="1701"/>
          </w:tcPr>
          <w:p>
            <w:pPr>
              <w:spacing w:before="40" w:after="80" w:lineRule="atLeast" w:line="240"/>
            </w:pPr>
            <w:r>
              <w:rPr>
                <w:sz w:val="20"/>
              </w:rPr>
              <w:t>Use</w:t>
            </w:r>
          </w:p>
        </w:tc>
        <w:tc>
          <w:tcPr>
            <w:tcW w:type="dxa" w:w="5669"/>
          </w:tcPr>
          <w:p>
            <w:pPr>
              <w:spacing w:before="40" w:after="80" w:lineRule="atLeast" w:line="240"/>
            </w:pPr>
            <w:r>
              <w:rPr>
                <w:sz w:val="20"/>
              </w:rPr>
              <w:t>Used when reporting the use of an ITMO.</w:t>
            </w:r>
          </w:p>
        </w:tc>
      </w:tr>
      <w:tr>
        <w:tc>
          <w:tcPr>
            <w:tcW w:type="dxa" w:w="1701"/>
          </w:tcPr>
          <w:p>
            <w:pPr>
              <w:spacing w:before="40" w:after="80" w:lineRule="atLeast" w:line="240"/>
            </w:pPr>
            <w:r>
              <w:rPr>
                <w:sz w:val="20"/>
              </w:rPr>
              <w:t>Cancellation</w:t>
            </w:r>
          </w:p>
        </w:tc>
        <w:tc>
          <w:tcPr>
            <w:tcW w:type="dxa" w:w="5669"/>
          </w:tcPr>
          <w:p>
            <w:pPr>
              <w:spacing w:before="40" w:after="80" w:lineRule="atLeast" w:line="240"/>
            </w:pPr>
            <w:r>
              <w:rPr>
                <w:sz w:val="20"/>
              </w:rPr>
              <w:t>Used when reporting the cancellation of an ITMO.</w:t>
            </w:r>
          </w:p>
        </w:tc>
      </w:tr>
      <w:tr>
        <w:tc>
          <w:tcPr>
            <w:tcW w:type="dxa" w:w="1701"/>
            <w:tcBorders>
              <w:bottom w:sz="12" w:val="single" w:color="#000000" w:space="0"/>
            </w:tcBorders>
          </w:tcPr>
          <w:p>
            <w:pPr>
              <w:spacing w:before="40" w:after="80" w:lineRule="atLeast" w:line="240"/>
            </w:pPr>
            <w:r>
              <w:rPr>
                <w:sz w:val="20"/>
              </w:rPr>
              <w:t>Voluntary Cancellation</w:t>
            </w:r>
          </w:p>
        </w:tc>
        <w:tc>
          <w:tcPr>
            <w:tcW w:type="dxa" w:w="5669"/>
            <w:tcBorders>
              <w:bottom w:sz="12" w:val="single" w:color="#000000" w:space="0"/>
            </w:tcBorders>
          </w:tcPr>
          <w:p>
            <w:pPr>
              <w:spacing w:before="40" w:after="80" w:lineRule="atLeast" w:line="240"/>
            </w:pPr>
            <w:r>
              <w:rPr>
                <w:sz w:val="20"/>
              </w:rPr>
              <w:t>Used when reporting the cancellation of an ITMO.</w:t>
            </w:r>
          </w:p>
        </w:tc>
      </w:tr>
    </w:tbl>
    <w:p>
      <w:pPr>
        <w:spacing w:before="0" w:after="120"/>
      </w:pPr>
    </w:p>
    <w:p>
      <w:pPr>
        <w:keepNext/>
        <w:spacing w:before="0" w:after="120"/>
        <w:ind w:left="1134"/>
      </w:pPr>
      <w:r>
        <w:t>Table 26(a)</w:t>
        <w:br/>
      </w:r>
      <w:r>
        <w:rPr>
          <w:b/>
        </w:rPr>
        <w:t>Action subtype: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Actions subtypes depend on the Action type.</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br/>
              <w:t>Decision 2/CMA.3, Annex, paragraph 20(a), paragraph 29.</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Action subtype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ActionSubtype</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26(b) below</w:t>
            </w:r>
          </w:p>
        </w:tc>
      </w:tr>
    </w:tbl>
    <w:p>
      <w:pPr>
        <w:spacing w:before="0" w:after="120"/>
      </w:pPr>
    </w:p>
    <w:p>
      <w:pPr>
        <w:spacing w:before="0" w:after="120"/>
        <w:ind w:left="1134"/>
      </w:pPr>
      <w:r>
        <w:t>Table 26(b)</w:t>
        <w:br/>
      </w:r>
      <w:r>
        <w:rPr>
          <w:b/>
        </w:rPr>
        <w:t>Action subtype: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First transfer to another Party</w:t>
            </w:r>
          </w:p>
        </w:tc>
        <w:tc>
          <w:tcPr>
            <w:tcW w:type="dxa" w:w="5669"/>
          </w:tcPr>
          <w:p>
            <w:pPr>
              <w:spacing w:before="40" w:after="80" w:lineRule="atLeast" w:line="240"/>
            </w:pPr>
            <w:r>
              <w:rPr>
                <w:sz w:val="20"/>
              </w:rPr>
              <w:t>Subtype of First transfer</w:t>
            </w:r>
          </w:p>
        </w:tc>
      </w:tr>
      <w:tr>
        <w:tc>
          <w:tcPr>
            <w:tcW w:type="dxa" w:w="1701"/>
          </w:tcPr>
          <w:p>
            <w:pPr>
              <w:spacing w:before="40" w:after="80" w:lineRule="atLeast" w:line="240"/>
            </w:pPr>
            <w:r>
              <w:rPr>
                <w:sz w:val="20"/>
              </w:rPr>
              <w:t>Authorization</w:t>
            </w:r>
          </w:p>
        </w:tc>
        <w:tc>
          <w:tcPr>
            <w:tcW w:type="dxa" w:w="5669"/>
          </w:tcPr>
          <w:p>
            <w:pPr>
              <w:spacing w:before="40" w:after="80" w:lineRule="atLeast" w:line="240"/>
            </w:pPr>
            <w:r>
              <w:rPr>
                <w:sz w:val="20"/>
              </w:rPr>
              <w:t>Subtype of First transfer</w:t>
            </w:r>
          </w:p>
        </w:tc>
      </w:tr>
      <w:tr>
        <w:tc>
          <w:tcPr>
            <w:tcW w:type="dxa" w:w="1701"/>
          </w:tcPr>
          <w:p>
            <w:pPr>
              <w:spacing w:before="40" w:after="80" w:lineRule="atLeast" w:line="240"/>
            </w:pPr>
            <w:r>
              <w:rPr>
                <w:sz w:val="20"/>
              </w:rPr>
              <w:t>Issuance</w:t>
            </w:r>
          </w:p>
        </w:tc>
        <w:tc>
          <w:tcPr>
            <w:tcW w:type="dxa" w:w="5669"/>
          </w:tcPr>
          <w:p>
            <w:pPr>
              <w:spacing w:before="40" w:after="80" w:lineRule="atLeast" w:line="240"/>
            </w:pPr>
            <w:r>
              <w:rPr>
                <w:sz w:val="20"/>
              </w:rPr>
              <w:t>Subtype of First transfer</w:t>
            </w:r>
          </w:p>
        </w:tc>
      </w:tr>
      <w:tr>
        <w:tc>
          <w:tcPr>
            <w:tcW w:type="dxa" w:w="1701"/>
          </w:tcPr>
          <w:p>
            <w:pPr>
              <w:spacing w:before="40" w:after="80" w:lineRule="atLeast" w:line="240"/>
            </w:pPr>
            <w:r>
              <w:rPr>
                <w:sz w:val="20"/>
              </w:rPr>
              <w:t>Use or cancellation</w:t>
            </w:r>
          </w:p>
        </w:tc>
        <w:tc>
          <w:tcPr>
            <w:tcW w:type="dxa" w:w="5669"/>
          </w:tcPr>
          <w:p>
            <w:pPr>
              <w:spacing w:before="40" w:after="80" w:lineRule="atLeast" w:line="240"/>
            </w:pPr>
            <w:r>
              <w:rPr>
                <w:sz w:val="20"/>
              </w:rPr>
              <w:t>Subtype of First transfer</w:t>
            </w:r>
          </w:p>
        </w:tc>
      </w:tr>
      <w:tr>
        <w:tc>
          <w:tcPr>
            <w:tcW w:type="dxa" w:w="1701"/>
          </w:tcPr>
          <w:p>
            <w:pPr>
              <w:spacing w:before="40" w:after="80" w:lineRule="atLeast" w:line="240"/>
            </w:pPr>
            <w:r>
              <w:rPr>
                <w:sz w:val="20"/>
              </w:rPr>
              <w:t>Mandatory transfer to the Adaptation Fund (A6.4 ERs)</w:t>
            </w:r>
          </w:p>
        </w:tc>
        <w:tc>
          <w:tcPr>
            <w:tcW w:type="dxa" w:w="5669"/>
          </w:tcPr>
          <w:p>
            <w:pPr>
              <w:spacing w:before="40" w:after="80" w:lineRule="atLeast" w:line="240"/>
            </w:pPr>
            <w:r>
              <w:rPr>
                <w:sz w:val="20"/>
              </w:rPr>
              <w:t>Subtype of Transfer.</w:t>
            </w:r>
          </w:p>
        </w:tc>
      </w:tr>
      <w:tr>
        <w:tc>
          <w:tcPr>
            <w:tcW w:type="dxa" w:w="1701"/>
          </w:tcPr>
          <w:p>
            <w:pPr>
              <w:spacing w:before="40" w:after="80" w:lineRule="atLeast" w:line="240"/>
            </w:pPr>
            <w:r>
              <w:rPr>
                <w:sz w:val="20"/>
              </w:rPr>
              <w:t>Voluntary transfer to the Adaptation Fund (A6.4 ERs)</w:t>
            </w:r>
          </w:p>
        </w:tc>
        <w:tc>
          <w:tcPr>
            <w:tcW w:type="dxa" w:w="5669"/>
          </w:tcPr>
          <w:p>
            <w:pPr>
              <w:spacing w:before="40" w:after="80" w:lineRule="atLeast" w:line="240"/>
            </w:pPr>
            <w:r>
              <w:rPr>
                <w:sz w:val="20"/>
              </w:rPr>
              <w:t>Subtype of Transfer.</w:t>
            </w:r>
          </w:p>
        </w:tc>
      </w:tr>
      <w:tr>
        <w:tc>
          <w:tcPr>
            <w:tcW w:type="dxa" w:w="1701"/>
          </w:tcPr>
          <w:p>
            <w:pPr>
              <w:spacing w:before="40" w:after="80" w:lineRule="atLeast" w:line="240"/>
            </w:pPr>
            <w:r>
              <w:rPr>
                <w:sz w:val="20"/>
              </w:rPr>
              <w:t>Mandatory cancellation to deliver OMGE</w:t>
            </w:r>
          </w:p>
        </w:tc>
        <w:tc>
          <w:tcPr>
            <w:tcW w:type="dxa" w:w="5669"/>
          </w:tcPr>
          <w:p>
            <w:pPr>
              <w:spacing w:before="40" w:after="80" w:lineRule="atLeast" w:line="240"/>
            </w:pPr>
            <w:r>
              <w:rPr>
                <w:sz w:val="20"/>
              </w:rPr>
              <w:t>Subtype of cancellation (or first transfer for cancellation).</w:t>
            </w:r>
          </w:p>
        </w:tc>
      </w:tr>
      <w:tr>
        <w:tc>
          <w:tcPr>
            <w:tcW w:type="dxa" w:w="1701"/>
          </w:tcPr>
          <w:p>
            <w:pPr>
              <w:spacing w:before="40" w:after="80" w:lineRule="atLeast" w:line="240"/>
            </w:pPr>
            <w:r>
              <w:rPr>
                <w:sz w:val="20"/>
              </w:rPr>
              <w:t>Voluntary cancellation to deliver OMGE</w:t>
            </w:r>
          </w:p>
        </w:tc>
        <w:tc>
          <w:tcPr>
            <w:tcW w:type="dxa" w:w="5669"/>
          </w:tcPr>
          <w:p>
            <w:pPr>
              <w:spacing w:before="40" w:after="80" w:lineRule="atLeast" w:line="240"/>
            </w:pPr>
            <w:r>
              <w:rPr>
                <w:sz w:val="20"/>
              </w:rPr>
              <w:t>Subtype of cancellation (or first transfer for cancellation).</w:t>
            </w:r>
          </w:p>
        </w:tc>
      </w:tr>
      <w:tr>
        <w:tc>
          <w:tcPr>
            <w:tcW w:type="dxa" w:w="1701"/>
          </w:tcPr>
          <w:p>
            <w:pPr>
              <w:spacing w:before="40" w:after="80" w:lineRule="atLeast" w:line="240"/>
            </w:pPr>
            <w:r>
              <w:rPr>
                <w:sz w:val="20"/>
              </w:rPr>
              <w:t>Other cancellations</w:t>
            </w:r>
          </w:p>
        </w:tc>
        <w:tc>
          <w:tcPr>
            <w:tcW w:type="dxa" w:w="5669"/>
          </w:tcPr>
          <w:p>
            <w:pPr>
              <w:spacing w:before="40" w:after="80" w:lineRule="atLeast" w:line="240"/>
            </w:pPr>
            <w:r>
              <w:rPr>
                <w:sz w:val="20"/>
              </w:rPr>
              <w:t>Subtype of cancellation (or first transfer for cancellation).</w:t>
            </w:r>
          </w:p>
        </w:tc>
      </w:tr>
      <w:tr>
        <w:tc>
          <w:tcPr>
            <w:tcW w:type="dxa" w:w="1701"/>
            <w:tcBorders>
              <w:bottom w:sz="12" w:val="single" w:color="#000000" w:space="0"/>
            </w:tcBorders>
          </w:tcPr>
          <w:p>
            <w:pPr>
              <w:spacing w:before="40" w:after="80" w:lineRule="atLeast" w:line="240"/>
            </w:pPr>
            <w:r>
              <w:rPr>
                <w:sz w:val="20"/>
              </w:rPr>
              <w:t>Not yet defined</w:t>
            </w:r>
          </w:p>
        </w:tc>
        <w:tc>
          <w:tcPr>
            <w:tcW w:type="dxa" w:w="5669"/>
            <w:tcBorders>
              <w:bottom w:sz="12" w:val="single" w:color="#000000" w:space="0"/>
            </w:tcBorders>
          </w:tcPr>
          <w:p>
            <w:pPr>
              <w:spacing w:before="40" w:after="80" w:lineRule="atLeast" w:line="240"/>
            </w:pPr>
            <w:r>
              <w:rPr>
                <w:sz w:val="20"/>
              </w:rPr>
              <w:t>Other not yet defined subtype.</w:t>
            </w:r>
          </w:p>
        </w:tc>
      </w:tr>
    </w:tbl>
    <w:p>
      <w:pPr>
        <w:spacing w:before="0" w:after="120"/>
      </w:pPr>
    </w:p>
    <w:p>
      <w:pPr>
        <w:keepNext/>
        <w:spacing w:before="0" w:after="120"/>
        <w:ind w:left="1134"/>
      </w:pPr>
      <w:r>
        <w:t>Table 27</w:t>
        <w:br/>
      </w:r>
      <w:r>
        <w:rPr>
          <w:b/>
        </w:rPr>
        <w:t>First transferring Party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ISO-3166-1 alpha-3 code of the participating Party in which the authorized mitigation outcome occurred.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First transferring participating Party ID</w:t>
              <w:br/>
              <w:t>Holdings: First transferring participating Party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FirstTransferringPartyID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28</w:t>
        <w:br/>
      </w:r>
      <w:r>
        <w:rPr>
          <w:b/>
        </w:rPr>
        <w:t>Party ITMO registry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When reporting Actions, the unique identifier of the Party ITMO registry in which the reported action has been tracked;</w:t>
              <w:br/>
              <w:t>When reporting Holdings, the unique identifier of the Party ITMO registry in which the ITMOs are held.</w:t>
              <w:br/>
              <w:t>Registry identifiers consist of the ISO-3166-1 alpha-3 code of its participating Party, and a unique two digit registry identifier within the participating Party.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Party ITMO registry ID</w:t>
              <w:br/>
              <w:t>Holdings: Party ITMO registry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PartyITMORegistryID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29</w:t>
        <w:br/>
      </w:r>
      <w:r>
        <w:rPr>
          <w:b/>
        </w:rPr>
        <w:t>First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Identifier of the first ITMO in the block, commencing with First ID, ending with Last ID.</w:t>
              <w:br/>
              <w:t>Blocks from the same Originating Party Registry cannot overlap.</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First ID</w:t>
              <w:br/>
              <w:t>Holdings: First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FirstID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30</w:t>
        <w:br/>
      </w:r>
      <w:r>
        <w:rPr>
          <w:b/>
        </w:rPr>
        <w:t>Last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Identifier of the last ITMO in the block, commencing with First ID, ending with Last ID.</w:t>
              <w:br/>
              <w:t>Blocks from the same Originating Party Registry cannot overlap.</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Last ID</w:t>
              <w:br/>
              <w:t>Holdings: Last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LastID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31(a)</w:t>
        <w:br/>
      </w:r>
      <w:r>
        <w:rPr>
          <w:b/>
        </w:rPr>
        <w:t>Underlying unit registry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Unique identifier of the underlying cooperative approach registry (or carbon crediting programme).</w:t>
              <w:br/>
              <w:t>This field should be reported as ‘Not applicable' (NA), or left blank, if the cooperative approach does not use an underlying cooperative approach registry.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br/>
              <w:t>Decision 2/CMA.3, Annex, paragraph 20(a), paragraph 29.</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Underlying unit registry ID</w:t>
              <w:br/>
              <w:t>Holdings: Underlying unit registry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UnderlyingUnitRegistryID</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31(b) below</w:t>
            </w:r>
          </w:p>
        </w:tc>
      </w:tr>
    </w:tbl>
    <w:p>
      <w:pPr>
        <w:spacing w:before="0" w:after="120"/>
      </w:pPr>
    </w:p>
    <w:p>
      <w:pPr>
        <w:spacing w:before="0" w:after="120"/>
        <w:ind w:left="1134"/>
      </w:pPr>
      <w:r>
        <w:t>Table 31(b)</w:t>
        <w:br/>
      </w:r>
      <w:r>
        <w:rPr>
          <w:b/>
        </w:rPr>
        <w:t>Underlying unit registry ID: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VCS</w:t>
            </w:r>
          </w:p>
        </w:tc>
        <w:tc>
          <w:tcPr>
            <w:tcW w:type="dxa" w:w="5669"/>
          </w:tcPr>
          <w:p>
            <w:pPr>
              <w:spacing w:before="40" w:after="80" w:lineRule="atLeast" w:line="240"/>
            </w:pPr>
            <w:r>
              <w:rPr>
                <w:sz w:val="20"/>
              </w:rPr>
              <w:t>Verified Carbon Standard</w:t>
            </w:r>
          </w:p>
        </w:tc>
      </w:tr>
      <w:tr>
        <w:tc>
          <w:tcPr>
            <w:tcW w:type="dxa" w:w="1701"/>
          </w:tcPr>
          <w:p>
            <w:pPr>
              <w:spacing w:before="40" w:after="80" w:lineRule="atLeast" w:line="240"/>
            </w:pPr>
            <w:r>
              <w:rPr>
                <w:sz w:val="20"/>
              </w:rPr>
              <w:t>GS</w:t>
            </w:r>
          </w:p>
        </w:tc>
        <w:tc>
          <w:tcPr>
            <w:tcW w:type="dxa" w:w="5669"/>
          </w:tcPr>
          <w:p>
            <w:pPr>
              <w:spacing w:before="40" w:after="80" w:lineRule="atLeast" w:line="240"/>
            </w:pPr>
            <w:r>
              <w:rPr>
                <w:sz w:val="20"/>
              </w:rPr>
              <w:t>Gold Standard</w:t>
            </w:r>
          </w:p>
        </w:tc>
      </w:tr>
      <w:tr>
        <w:tc>
          <w:tcPr>
            <w:tcW w:type="dxa" w:w="1701"/>
          </w:tcPr>
          <w:p>
            <w:pPr>
              <w:spacing w:before="40" w:after="80" w:lineRule="atLeast" w:line="240"/>
            </w:pPr>
            <w:r>
              <w:rPr>
                <w:sz w:val="20"/>
              </w:rPr>
              <w:t>CAR</w:t>
            </w:r>
          </w:p>
        </w:tc>
        <w:tc>
          <w:tcPr>
            <w:tcW w:type="dxa" w:w="5669"/>
          </w:tcPr>
          <w:p>
            <w:pPr>
              <w:spacing w:before="40" w:after="80" w:lineRule="atLeast" w:line="240"/>
            </w:pPr>
            <w:r>
              <w:rPr>
                <w:sz w:val="20"/>
              </w:rPr>
              <w:t>Climate Action Reserve</w:t>
            </w:r>
          </w:p>
        </w:tc>
      </w:tr>
      <w:tr>
        <w:tc>
          <w:tcPr>
            <w:tcW w:type="dxa" w:w="1701"/>
          </w:tcPr>
          <w:p>
            <w:pPr>
              <w:spacing w:before="40" w:after="80" w:lineRule="atLeast" w:line="240"/>
            </w:pPr>
            <w:r>
              <w:rPr>
                <w:sz w:val="20"/>
              </w:rPr>
              <w:t>ACR</w:t>
            </w:r>
          </w:p>
        </w:tc>
        <w:tc>
          <w:tcPr>
            <w:tcW w:type="dxa" w:w="5669"/>
          </w:tcPr>
          <w:p>
            <w:pPr>
              <w:spacing w:before="40" w:after="80" w:lineRule="atLeast" w:line="240"/>
            </w:pPr>
            <w:r>
              <w:rPr>
                <w:sz w:val="20"/>
              </w:rPr>
              <w:t>American Carbon Registry</w:t>
            </w:r>
          </w:p>
        </w:tc>
      </w:tr>
      <w:tr>
        <w:tc>
          <w:tcPr>
            <w:tcW w:type="dxa" w:w="1701"/>
          </w:tcPr>
          <w:p>
            <w:pPr>
              <w:spacing w:before="40" w:after="80" w:lineRule="atLeast" w:line="240"/>
            </w:pPr>
            <w:r>
              <w:rPr>
                <w:sz w:val="20"/>
              </w:rPr>
              <w:t>ART</w:t>
            </w:r>
          </w:p>
        </w:tc>
        <w:tc>
          <w:tcPr>
            <w:tcW w:type="dxa" w:w="5669"/>
          </w:tcPr>
          <w:p>
            <w:pPr>
              <w:spacing w:before="40" w:after="80" w:lineRule="atLeast" w:line="240"/>
            </w:pPr>
            <w:r>
              <w:rPr>
                <w:sz w:val="20"/>
              </w:rPr>
              <w:t>Architecture for REDD+ Transactions</w:t>
            </w:r>
          </w:p>
        </w:tc>
      </w:tr>
      <w:tr>
        <w:tc>
          <w:tcPr>
            <w:tcW w:type="dxa" w:w="1701"/>
          </w:tcPr>
          <w:p>
            <w:pPr>
              <w:spacing w:before="40" w:after="80" w:lineRule="atLeast" w:line="240"/>
            </w:pPr>
            <w:r>
              <w:rPr>
                <w:sz w:val="20"/>
              </w:rPr>
              <w:t>GCC</w:t>
            </w:r>
          </w:p>
        </w:tc>
        <w:tc>
          <w:tcPr>
            <w:tcW w:type="dxa" w:w="5669"/>
          </w:tcPr>
          <w:p>
            <w:pPr>
              <w:spacing w:before="40" w:after="80" w:lineRule="atLeast" w:line="240"/>
            </w:pPr>
            <w:r>
              <w:rPr>
                <w:sz w:val="20"/>
              </w:rPr>
              <w:t>Global Carbon Council</w:t>
            </w:r>
          </w:p>
        </w:tc>
      </w:tr>
      <w:tr>
        <w:tc>
          <w:tcPr>
            <w:tcW w:type="dxa" w:w="1701"/>
          </w:tcPr>
          <w:p>
            <w:pPr>
              <w:spacing w:before="40" w:after="80" w:lineRule="atLeast" w:line="240"/>
            </w:pPr>
            <w:r>
              <w:rPr>
                <w:sz w:val="20"/>
              </w:rPr>
              <w:t>Cercarbono</w:t>
            </w:r>
          </w:p>
        </w:tc>
        <w:tc>
          <w:tcPr>
            <w:tcW w:type="dxa" w:w="5669"/>
          </w:tcPr>
          <w:p>
            <w:pPr>
              <w:spacing w:before="40" w:after="80" w:lineRule="atLeast" w:line="240"/>
            </w:pPr>
            <w:r>
              <w:rPr>
                <w:sz w:val="20"/>
              </w:rPr>
              <w:t>Cercarbono</w:t>
            </w:r>
          </w:p>
        </w:tc>
      </w:tr>
      <w:tr>
        <w:tc>
          <w:tcPr>
            <w:tcW w:type="dxa" w:w="1701"/>
          </w:tcPr>
          <w:p>
            <w:pPr>
              <w:spacing w:before="40" w:after="80" w:lineRule="atLeast" w:line="240"/>
            </w:pPr>
            <w:r>
              <w:rPr>
                <w:sz w:val="20"/>
              </w:rPr>
              <w:t>Isometric</w:t>
            </w:r>
          </w:p>
        </w:tc>
        <w:tc>
          <w:tcPr>
            <w:tcW w:type="dxa" w:w="5669"/>
          </w:tcPr>
          <w:p>
            <w:pPr>
              <w:spacing w:before="40" w:after="80" w:lineRule="atLeast" w:line="240"/>
            </w:pPr>
            <w:r>
              <w:rPr>
                <w:sz w:val="20"/>
              </w:rPr>
              <w:t>Isometric</w:t>
            </w:r>
          </w:p>
        </w:tc>
      </w:tr>
      <w:tr>
        <w:tc>
          <w:tcPr>
            <w:tcW w:type="dxa" w:w="1701"/>
          </w:tcPr>
          <w:p>
            <w:pPr>
              <w:spacing w:before="40" w:after="80" w:lineRule="atLeast" w:line="240"/>
            </w:pPr>
            <w:r>
              <w:rPr>
                <w:sz w:val="20"/>
              </w:rPr>
              <w:t>ISFL</w:t>
            </w:r>
          </w:p>
        </w:tc>
        <w:tc>
          <w:tcPr>
            <w:tcW w:type="dxa" w:w="5669"/>
          </w:tcPr>
          <w:p>
            <w:pPr>
              <w:spacing w:before="40" w:after="80" w:lineRule="atLeast" w:line="240"/>
            </w:pPr>
            <w:r>
              <w:rPr>
                <w:sz w:val="20"/>
              </w:rPr>
              <w:t>Biocarbon Fund Initiative for Sustainable Forest Landscapes</w:t>
            </w:r>
          </w:p>
        </w:tc>
      </w:tr>
      <w:tr>
        <w:tc>
          <w:tcPr>
            <w:tcW w:type="dxa" w:w="1701"/>
          </w:tcPr>
          <w:p>
            <w:pPr>
              <w:spacing w:before="40" w:after="80" w:lineRule="atLeast" w:line="240"/>
            </w:pPr>
            <w:r>
              <w:rPr>
                <w:sz w:val="20"/>
              </w:rPr>
              <w:t>FCPF</w:t>
            </w:r>
          </w:p>
        </w:tc>
        <w:tc>
          <w:tcPr>
            <w:tcW w:type="dxa" w:w="5669"/>
          </w:tcPr>
          <w:p>
            <w:pPr>
              <w:spacing w:before="40" w:after="80" w:lineRule="atLeast" w:line="240"/>
            </w:pPr>
            <w:r>
              <w:rPr>
                <w:sz w:val="20"/>
              </w:rPr>
              <w:t>Forest Carbon Parnership Facility</w:t>
            </w:r>
          </w:p>
        </w:tc>
      </w:tr>
      <w:tr>
        <w:tc>
          <w:tcPr>
            <w:tcW w:type="dxa" w:w="1701"/>
          </w:tcPr>
          <w:p>
            <w:pPr>
              <w:spacing w:before="40" w:after="80" w:lineRule="atLeast" w:line="240"/>
            </w:pPr>
            <w:r>
              <w:rPr>
                <w:sz w:val="20"/>
              </w:rPr>
              <w:t>T-VER</w:t>
            </w:r>
          </w:p>
        </w:tc>
        <w:tc>
          <w:tcPr>
            <w:tcW w:type="dxa" w:w="5669"/>
          </w:tcPr>
          <w:p>
            <w:pPr>
              <w:spacing w:before="40" w:after="80" w:lineRule="atLeast" w:line="240"/>
            </w:pPr>
            <w:r>
              <w:rPr>
                <w:sz w:val="20"/>
              </w:rPr>
              <w:t>Thailand Voluntary Emission Reduction Programme</w:t>
            </w:r>
          </w:p>
        </w:tc>
      </w:tr>
      <w:tr>
        <w:tc>
          <w:tcPr>
            <w:tcW w:type="dxa" w:w="1701"/>
            <w:tcBorders>
              <w:bottom w:sz="12" w:val="single" w:color="#000000" w:space="0"/>
            </w:tcBorders>
          </w:tcPr>
          <w:p>
            <w:pPr>
              <w:spacing w:before="40" w:after="80" w:lineRule="atLeast" w:line="240"/>
            </w:pPr>
            <w:r>
              <w:rPr>
                <w:sz w:val="20"/>
              </w:rPr>
              <w:t>JCM</w:t>
            </w:r>
          </w:p>
        </w:tc>
        <w:tc>
          <w:tcPr>
            <w:tcW w:type="dxa" w:w="5669"/>
            <w:tcBorders>
              <w:bottom w:sz="12" w:val="single" w:color="#000000" w:space="0"/>
            </w:tcBorders>
          </w:tcPr>
          <w:p>
            <w:pPr>
              <w:spacing w:before="40" w:after="80" w:lineRule="atLeast" w:line="240"/>
            </w:pPr>
            <w:r>
              <w:rPr>
                <w:sz w:val="20"/>
              </w:rPr>
              <w:t>Joint Crediting Mechanism</w:t>
            </w:r>
          </w:p>
        </w:tc>
      </w:tr>
    </w:tbl>
    <w:p>
      <w:pPr>
        <w:spacing w:before="0" w:after="120"/>
      </w:pPr>
    </w:p>
    <w:p>
      <w:pPr>
        <w:keepNext/>
        <w:spacing w:before="0" w:after="120"/>
        <w:ind w:left="1134"/>
      </w:pPr>
      <w:r>
        <w:t>Table 32</w:t>
        <w:br/>
      </w:r>
      <w:r>
        <w:rPr>
          <w:b/>
        </w:rPr>
        <w:t>Underlying unit unique identifier first unit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Identifier of the first ITMO in the block, commencing with First unit ID, ending with Last unit ID.</w:t>
              <w:br/>
              <w:t>Blocks from the same Underlying unit registry cannot overlap.</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First unit ID</w:t>
              <w:br/>
              <w:t>Holdings: First unit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UnderlyingUnitFirstUnitID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33</w:t>
        <w:br/>
      </w:r>
      <w:r>
        <w:rPr>
          <w:b/>
        </w:rPr>
        <w:t>Underlying unit unique identifier last unit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Identifier of the last ITMO in the block, commencing with First unit ID, ending with Last unit ID.</w:t>
              <w:br/>
              <w:t>Blocks from the same Underlying unit registry cannot overlap.</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Last unit ID</w:t>
              <w:br/>
              <w:t>Holdings: Last unit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UnderlyingUnitLastUnitID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34</w:t>
        <w:br/>
      </w:r>
      <w:r>
        <w:rPr>
          <w:b/>
        </w:rPr>
        <w:t>Quantity CO2: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Quantity of ITMOs in metric tons of CO2 equivalent.</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Quantity (t CO2 eq)</w:t>
              <w:br/>
              <w:t>Holdings: Quantity (t CO2 eq)</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QuantityCO2</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35</w:t>
        <w:br/>
      </w:r>
      <w:r>
        <w:rPr>
          <w:b/>
        </w:rPr>
        <w:t>Quantity non-GHG: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Quantity of ITMOs in the respective non-GHG metric. This field should be reported as ‘Not applicable' (NA), or left blank, if the ITMOs are in a GHG metric.</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Quantity (in non-GHG metric)</w:t>
              <w:br/>
              <w:t>Holdings: Quantity (in non-GHG metric)</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QuantityNon-GHG</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36(a)</w:t>
        <w:br/>
      </w:r>
      <w:r>
        <w:rPr>
          <w:b/>
        </w:rPr>
        <w:t>Mitigation type: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Allowed values: "Emission reductions", "Removals", "Emission reductions and removals".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6.2/CMA15, Annex II, Table 3</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Mitigation type</w:t>
              <w:br/>
              <w:t>Holdings: Mitigation type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MitigationType</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36(b) below</w:t>
            </w:r>
          </w:p>
        </w:tc>
      </w:tr>
    </w:tbl>
    <w:p>
      <w:pPr>
        <w:spacing w:before="0" w:after="120"/>
      </w:pPr>
    </w:p>
    <w:p>
      <w:pPr>
        <w:spacing w:before="0" w:after="120"/>
        <w:ind w:left="1134"/>
      </w:pPr>
      <w:r>
        <w:t>Table 36(b)</w:t>
        <w:br/>
      </w:r>
      <w:r>
        <w:rPr>
          <w:b/>
        </w:rPr>
        <w:t>Mitigation type: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Emission reductions</w:t>
            </w:r>
          </w:p>
        </w:tc>
        <w:tc>
          <w:tcPr>
            <w:tcW w:type="dxa" w:w="5669"/>
          </w:tcPr>
          <w:p>
            <w:pPr>
              <w:spacing w:before="40" w:after="80" w:lineRule="atLeast" w:line="240"/>
            </w:pPr>
            <w:r>
              <w:rPr>
                <w:sz w:val="20"/>
              </w:rPr>
              <w:t>Emission reductions only</w:t>
            </w:r>
          </w:p>
        </w:tc>
      </w:tr>
      <w:tr>
        <w:tc>
          <w:tcPr>
            <w:tcW w:type="dxa" w:w="1701"/>
          </w:tcPr>
          <w:p>
            <w:pPr>
              <w:spacing w:before="40" w:after="80" w:lineRule="atLeast" w:line="240"/>
            </w:pPr>
            <w:r>
              <w:rPr>
                <w:sz w:val="20"/>
              </w:rPr>
              <w:t>Removals</w:t>
            </w:r>
          </w:p>
        </w:tc>
        <w:tc>
          <w:tcPr>
            <w:tcW w:type="dxa" w:w="5669"/>
          </w:tcPr>
          <w:p>
            <w:pPr>
              <w:spacing w:before="40" w:after="80" w:lineRule="atLeast" w:line="240"/>
            </w:pPr>
            <w:r>
              <w:rPr>
                <w:sz w:val="20"/>
              </w:rPr>
              <w:t>Removals only</w:t>
            </w:r>
          </w:p>
        </w:tc>
      </w:tr>
      <w:tr>
        <w:tc>
          <w:tcPr>
            <w:tcW w:type="dxa" w:w="1701"/>
            <w:tcBorders>
              <w:bottom w:sz="12" w:val="single" w:color="#000000" w:space="0"/>
            </w:tcBorders>
          </w:tcPr>
          <w:p>
            <w:pPr>
              <w:spacing w:before="40" w:after="80" w:lineRule="atLeast" w:line="240"/>
            </w:pPr>
            <w:r>
              <w:rPr>
                <w:sz w:val="20"/>
              </w:rPr>
              <w:t>Emission reductions and removals</w:t>
            </w:r>
          </w:p>
        </w:tc>
        <w:tc>
          <w:tcPr>
            <w:tcW w:type="dxa" w:w="5669"/>
            <w:tcBorders>
              <w:bottom w:sz="12" w:val="single" w:color="#000000" w:space="0"/>
            </w:tcBorders>
          </w:tcPr>
          <w:p>
            <w:pPr>
              <w:spacing w:before="40" w:after="80" w:lineRule="atLeast" w:line="240"/>
            </w:pPr>
            <w:r>
              <w:rPr>
                <w:sz w:val="20"/>
              </w:rPr>
              <w:t>Both emission reductions and removals</w:t>
            </w:r>
          </w:p>
        </w:tc>
      </w:tr>
    </w:tbl>
    <w:p>
      <w:pPr>
        <w:spacing w:before="0" w:after="120"/>
      </w:pPr>
    </w:p>
    <w:p>
      <w:pPr>
        <w:keepNext/>
        <w:spacing w:before="0" w:after="120"/>
        <w:ind w:left="1134"/>
      </w:pPr>
      <w:r>
        <w:t>Table 37</w:t>
        <w:br/>
      </w:r>
      <w:r>
        <w:rPr>
          <w:b/>
        </w:rPr>
        <w:t>Vintage: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Year in which mitigation outcome occured.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Vintage</w:t>
              <w:br/>
              <w:t>Holdings: Vintage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Vintage</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38</w:t>
        <w:br/>
      </w:r>
      <w:r>
        <w:rPr>
          <w:b/>
        </w:rPr>
        <w:t>Transferring Party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ISO-3166-1 alpha-3 code of the transferring participating Party or, where the transfer occurs from the Adaptation Fund to a Party, a unique identifier for the Adaptation Fund.</w:t>
              <w:br/>
              <w:t>This field is only applicable to the action type ‘acquisition'.</w:t>
              <w:br/>
              <w:t>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Transferring participating Party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TransferringPartyID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39</w:t>
        <w:br/>
      </w:r>
      <w:r>
        <w:rPr>
          <w:b/>
        </w:rPr>
        <w:t>Acquiring Party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ISO-3166-1 alpha-3 code of the acquiring participating Party, or where the acquisition occurs by the Adaptation Fund, a unique identifier for the Adaptation Fund.</w:t>
              <w:br/>
              <w:t>This field is applicable to the action types ‘first transfer' and ‘transfer'.</w:t>
              <w:br/>
              <w:t>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Acquiring participating Party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AcquiringPartyID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40</w:t>
        <w:br/>
      </w:r>
      <w:r>
        <w:rPr>
          <w:b/>
        </w:rPr>
        <w:t>Purpose ITMO used for OIMP: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specifies the purpose for which the ITMO has been first transferred for use towards international mitigation purposes (IMP), cancelled for other purposes (OP) or cancelled for purposes referred to in paragraph 20(a), annex, decision 2/CMA.3.</w:t>
              <w:br/>
              <w:t>This field is only applicable to the action types ‘use', ‘first transfer' and ‘cancellation'. 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Purposes for which ITMO has been used towards or cancelled for OIMP</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PurposeITMOUsedForOIMP</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41</w:t>
        <w:br/>
      </w:r>
      <w:r>
        <w:rPr>
          <w:b/>
        </w:rPr>
        <w:t>Using/cancelling Party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ISO-3166-1 alpha-3 code of the using or cancelling participating Party.</w:t>
              <w:br/>
              <w:t>This field is only applicable to report a use for IMP or cancellation for OP.</w:t>
              <w:br/>
              <w:t>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Using/cancelling participating Party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Using/cancellingPartyID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42</w:t>
        <w:br/>
      </w:r>
      <w:r>
        <w:rPr>
          <w:b/>
        </w:rPr>
        <w:t>Using/cancelling authorized entity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ISO-3166-1 alpha-3 code of using or cancelling authorized entity.</w:t>
              <w:br/>
              <w:t>This field is only applicable to report the use or cancellation of authorized mitigation outcomes or ITMOs by authorized entities.</w:t>
              <w:br/>
              <w:t>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Using/cancelling authorized entity ID</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Using/cancellingEntityID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43</w:t>
        <w:br/>
      </w:r>
      <w:r>
        <w:rPr>
          <w:b/>
        </w:rPr>
        <w:t>Year ITMO used towards NDC: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calendar year for which the ITMOs are used towards an NDC.</w:t>
              <w:br/>
              <w:t>This field is only applicable for use of ITMOs towards the Party's NDC.</w:t>
              <w:br/>
              <w:t>In other cases, this field is reported as ‘Not applicable' (NA) or left blank.</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Actions: Calendar year for which the ITMOs are used towards the Party's NDC</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YearITMOUsedTowardsNDC</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44</w:t>
        <w:br/>
      </w:r>
      <w:r>
        <w:rPr>
          <w:b/>
        </w:rPr>
        <w:t>Authorized entity name: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Name of the authorized entity.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Authorized Entities: Name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AuthorizedEntityName</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45</w:t>
        <w:br/>
      </w:r>
      <w:r>
        <w:rPr>
          <w:b/>
        </w:rPr>
        <w:t>Authorized entity country of incorporation: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ISO-3166-1 alpha-3 code of the country in which the authorized entity is incorporated.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Authorized Entities: Country of incorporation</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AuthorizedEntityCountryOfIncorporation</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46</w:t>
        <w:br/>
      </w:r>
      <w:r>
        <w:rPr>
          <w:b/>
        </w:rPr>
        <w:t>Authorized entity identification: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Identification number of the authorized entity within its country of incorporation.</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Authorized Entities: Identification number.</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AuthorizedEntityID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47</w:t>
        <w:br/>
      </w:r>
      <w:r>
        <w:rPr>
          <w:b/>
        </w:rPr>
        <w:t>Authorized entity conditions: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optional.</w:t>
              <w:br/>
              <w:t>The conditions under which the authorization was provided, as applicable.</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flase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Authorized Entities: conditions.</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AuthorizedEntityConditions</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48</w:t>
        <w:br/>
      </w:r>
      <w:r>
        <w:rPr>
          <w:b/>
        </w:rPr>
        <w:t>Authorized entity change and revocation conditions: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This field is optional.</w:t>
              <w:br/>
              <w:t>Whether the authorization could be changed or revoked and under which conditions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flase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Authorized Entities: Change and revocation conditions.</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AuthorizedEntityChangeConditions</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49(a)</w:t>
        <w:br/>
      </w:r>
      <w:r>
        <w:rPr>
          <w:b/>
        </w:rPr>
        <w:t>First Transfer: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Definition of "first transfer" pursuant to decision, 2/CMA.3, Annex, paragraph 2.</w:t>
              <w:br/>
              <w:t>Therefore defines the "First Transferring Party.".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Definition of "First Transferring Party".</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not applicable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FirstTransfer</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49(b) below</w:t>
            </w:r>
          </w:p>
        </w:tc>
      </w:tr>
    </w:tbl>
    <w:p>
      <w:pPr>
        <w:spacing w:before="0" w:after="120"/>
      </w:pPr>
    </w:p>
    <w:p>
      <w:pPr>
        <w:spacing w:before="0" w:after="120"/>
        <w:ind w:left="1134"/>
      </w:pPr>
      <w:r>
        <w:t>Table 49(b)</w:t>
        <w:br/>
      </w:r>
      <w:r>
        <w:rPr>
          <w:b/>
        </w:rPr>
        <w:t>First Transfer: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First international transfer</w:t>
            </w:r>
          </w:p>
        </w:tc>
        <w:tc>
          <w:tcPr>
            <w:tcW w:type="dxa" w:w="5669"/>
          </w:tcPr>
          <w:p>
            <w:pPr>
              <w:spacing w:before="40" w:after="80" w:lineRule="atLeast" w:line="240"/>
            </w:pPr>
            <w:r>
              <w:rPr>
                <w:sz w:val="20"/>
              </w:rPr>
              <w:t xml:space="preserve">First transfer defined for ITMOs that are authorized for NDC pursuant 2 (a), Annex, 2/CMA.3. </w:t>
            </w:r>
          </w:p>
        </w:tc>
      </w:tr>
      <w:tr>
        <w:tc>
          <w:tcPr>
            <w:tcW w:type="dxa" w:w="1701"/>
          </w:tcPr>
          <w:p>
            <w:pPr>
              <w:spacing w:before="40" w:after="80" w:lineRule="atLeast" w:line="240"/>
            </w:pPr>
            <w:r>
              <w:rPr>
                <w:sz w:val="20"/>
              </w:rPr>
              <w:t>Authorisation</w:t>
            </w:r>
          </w:p>
        </w:tc>
        <w:tc>
          <w:tcPr>
            <w:tcW w:type="dxa" w:w="5669"/>
          </w:tcPr>
          <w:p>
            <w:pPr>
              <w:spacing w:before="40" w:after="80" w:lineRule="atLeast" w:line="240"/>
            </w:pPr>
            <w:r>
              <w:rPr>
                <w:sz w:val="20"/>
              </w:rPr>
              <w:t>First transfer defined for ITMOs that are authorized for OIMP pursuant 2 (b)(1) Authorisation, Annex, 2/CMA.3.</w:t>
            </w:r>
          </w:p>
        </w:tc>
      </w:tr>
      <w:tr>
        <w:tc>
          <w:tcPr>
            <w:tcW w:type="dxa" w:w="1701"/>
          </w:tcPr>
          <w:p>
            <w:pPr>
              <w:spacing w:before="40" w:after="80" w:lineRule="atLeast" w:line="240"/>
            </w:pPr>
            <w:r>
              <w:rPr>
                <w:sz w:val="20"/>
              </w:rPr>
              <w:t>Issuance</w:t>
            </w:r>
          </w:p>
        </w:tc>
        <w:tc>
          <w:tcPr>
            <w:tcW w:type="dxa" w:w="5669"/>
          </w:tcPr>
          <w:p>
            <w:pPr>
              <w:spacing w:before="40" w:after="80" w:lineRule="atLeast" w:line="240"/>
            </w:pPr>
            <w:r>
              <w:rPr>
                <w:sz w:val="20"/>
              </w:rPr>
              <w:t>First transfer defined for ITMOs that are authorized for OIMP pursuant 2 (b)(2) Issuance, Annex, 2/CMA.3.</w:t>
            </w:r>
          </w:p>
        </w:tc>
      </w:tr>
      <w:tr>
        <w:tc>
          <w:tcPr>
            <w:tcW w:type="dxa" w:w="1701"/>
            <w:tcBorders>
              <w:bottom w:sz="12" w:val="single" w:color="#000000" w:space="0"/>
            </w:tcBorders>
          </w:tcPr>
          <w:p>
            <w:pPr>
              <w:spacing w:before="40" w:after="80" w:lineRule="atLeast" w:line="240"/>
            </w:pPr>
            <w:r>
              <w:rPr>
                <w:sz w:val="20"/>
              </w:rPr>
              <w:t>Use or Cancellation</w:t>
            </w:r>
          </w:p>
        </w:tc>
        <w:tc>
          <w:tcPr>
            <w:tcW w:type="dxa" w:w="5669"/>
            <w:tcBorders>
              <w:bottom w:sz="12" w:val="single" w:color="#000000" w:space="0"/>
            </w:tcBorders>
          </w:tcPr>
          <w:p>
            <w:pPr>
              <w:spacing w:before="40" w:after="80" w:lineRule="atLeast" w:line="240"/>
            </w:pPr>
            <w:r>
              <w:rPr>
                <w:sz w:val="20"/>
              </w:rPr>
              <w:t>First transfer defined for ITMOs that are authorized for OIMP pursuant 2 (b)(3) Use or Cancellation, Annex, 2/CMA.3.</w:t>
            </w:r>
          </w:p>
        </w:tc>
      </w:tr>
    </w:tbl>
    <w:p>
      <w:pPr>
        <w:spacing w:before="0" w:after="120"/>
      </w:pPr>
    </w:p>
    <w:p>
      <w:pPr>
        <w:keepNext/>
        <w:spacing w:before="0" w:after="120"/>
        <w:ind w:left="1134"/>
      </w:pPr>
      <w:r>
        <w:t>Table 50</w:t>
        <w:br/>
      </w:r>
      <w:r>
        <w:rPr>
          <w:b/>
        </w:rPr>
        <w:t>Originating Party Registry ID: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registry identifier of the registry that registered the unit (as an authorised mitigation outcome).</w:t>
              <w:br/>
              <w:t>Registry identifiers consist of the ISO-3166-1 alpha-3 code of its participating Party, and a unique two digit registry identifier within the participating Party.</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Annex I, paragraph 5</w:t>
              <w:b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not applicable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OriginatingPartyRegistryID</w:t>
            </w:r>
          </w:p>
        </w:tc>
      </w:tr>
      <w:tr>
        <w:tc>
          <w:tcPr>
            <w:tcW w:type="dxa" w:w="1701"/>
            <w:tcBorders>
              <w:bottom w:sz="12" w:val="single" w:color="#000000" w:space="0"/>
            </w:tcBorders>
          </w:tcPr>
          <w:p>
            <w:r>
              <w:t>List of values</w:t>
            </w:r>
          </w:p>
        </w:tc>
        <w:tc>
          <w:tcPr>
            <w:tcW w:type="dxa" w:w="5669"/>
            <w:tcBorders>
              <w:bottom w:sz="12" w:val="single" w:color="#000000" w:space="0"/>
            </w:tcBorders>
          </w:tcPr>
          <w:p>
            <w:r>
              <w:t>Not available</w:t>
            </w:r>
          </w:p>
        </w:tc>
      </w:tr>
    </w:tbl>
    <w:p>
      <w:pPr>
        <w:spacing w:before="0" w:after="120"/>
      </w:pPr>
    </w:p>
    <w:p>
      <w:pPr>
        <w:keepNext/>
        <w:spacing w:before="0" w:after="120"/>
        <w:ind w:left="1134"/>
      </w:pPr>
      <w:r>
        <w:t>Table 51(a)</w:t>
        <w:br/>
      </w:r>
      <w:r>
        <w:rPr>
          <w:b/>
        </w:rPr>
        <w:t>Activity Type: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The mitigation activity type(s) from which the ITMOs were generated.</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Decision 6/CMA.4 paragraph 17 (j)</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string</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true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not applicable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ActivityType</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51(b) below</w:t>
            </w:r>
          </w:p>
        </w:tc>
      </w:tr>
    </w:tbl>
    <w:p>
      <w:pPr>
        <w:spacing w:before="0" w:after="120"/>
      </w:pPr>
    </w:p>
    <w:p>
      <w:pPr>
        <w:spacing w:before="0" w:after="120"/>
        <w:ind w:left="1134"/>
      </w:pPr>
      <w:r>
        <w:t>Table 51(b)</w:t>
        <w:br/>
      </w:r>
      <w:r>
        <w:rPr>
          <w:b/>
        </w:rPr>
        <w:t>Activity Type: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Afforestation</w:t>
            </w:r>
          </w:p>
        </w:tc>
        <w:tc>
          <w:tcPr>
            <w:tcW w:type="dxa" w:w="5669"/>
          </w:tcPr>
          <w:p>
            <w:pPr>
              <w:spacing w:before="40" w:after="80" w:lineRule="atLeast" w:line="240"/>
            </w:pPr>
            <w:r>
              <w:rPr>
                <w:sz w:val="20"/>
              </w:rPr>
              <w:t>Projects that involve the afforestation of land.</w:t>
            </w:r>
          </w:p>
        </w:tc>
      </w:tr>
      <w:tr>
        <w:tc>
          <w:tcPr>
            <w:tcW w:type="dxa" w:w="1701"/>
          </w:tcPr>
          <w:p>
            <w:pPr>
              <w:spacing w:before="40" w:after="80" w:lineRule="atLeast" w:line="240"/>
            </w:pPr>
            <w:r>
              <w:rPr>
                <w:sz w:val="20"/>
              </w:rPr>
              <w:t>Agriculture</w:t>
            </w:r>
          </w:p>
        </w:tc>
        <w:tc>
          <w:tcPr>
            <w:tcW w:type="dxa" w:w="5669"/>
          </w:tcPr>
          <w:p>
            <w:pPr>
              <w:spacing w:before="40" w:after="80" w:lineRule="atLeast" w:line="240"/>
            </w:pPr>
            <w:r>
              <w:rPr>
                <w:sz w:val="20"/>
              </w:rPr>
              <w:t>Projects aimed at reducing emissions from agricultural practices.</w:t>
            </w:r>
          </w:p>
        </w:tc>
      </w:tr>
      <w:tr>
        <w:tc>
          <w:tcPr>
            <w:tcW w:type="dxa" w:w="1701"/>
          </w:tcPr>
          <w:p>
            <w:pPr>
              <w:spacing w:before="40" w:after="80" w:lineRule="atLeast" w:line="240"/>
            </w:pPr>
            <w:r>
              <w:rPr>
                <w:sz w:val="20"/>
              </w:rPr>
              <w:t>Biogas</w:t>
            </w:r>
          </w:p>
        </w:tc>
        <w:tc>
          <w:tcPr>
            <w:tcW w:type="dxa" w:w="5669"/>
          </w:tcPr>
          <w:p>
            <w:pPr>
              <w:spacing w:before="40" w:after="80" w:lineRule="atLeast" w:line="240"/>
            </w:pPr>
            <w:r>
              <w:rPr>
                <w:sz w:val="20"/>
              </w:rPr>
              <w:t>Projects that generate energy from biogas.</w:t>
            </w:r>
          </w:p>
        </w:tc>
      </w:tr>
      <w:tr>
        <w:tc>
          <w:tcPr>
            <w:tcW w:type="dxa" w:w="1701"/>
          </w:tcPr>
          <w:p>
            <w:pPr>
              <w:spacing w:before="40" w:after="80" w:lineRule="atLeast" w:line="240"/>
            </w:pPr>
            <w:r>
              <w:rPr>
                <w:sz w:val="20"/>
              </w:rPr>
              <w:t>Biomass Energy</w:t>
            </w:r>
          </w:p>
        </w:tc>
        <w:tc>
          <w:tcPr>
            <w:tcW w:type="dxa" w:w="5669"/>
          </w:tcPr>
          <w:p>
            <w:pPr>
              <w:spacing w:before="40" w:after="80" w:lineRule="atLeast" w:line="240"/>
            </w:pPr>
            <w:r>
              <w:rPr>
                <w:sz w:val="20"/>
              </w:rPr>
              <w:t>Projects that generate energy from biomass resources.</w:t>
            </w:r>
          </w:p>
        </w:tc>
      </w:tr>
      <w:tr>
        <w:tc>
          <w:tcPr>
            <w:tcW w:type="dxa" w:w="1701"/>
          </w:tcPr>
          <w:p>
            <w:pPr>
              <w:spacing w:before="40" w:after="80" w:lineRule="atLeast" w:line="240"/>
            </w:pPr>
            <w:r>
              <w:rPr>
                <w:sz w:val="20"/>
              </w:rPr>
              <w:t>Cement</w:t>
            </w:r>
          </w:p>
        </w:tc>
        <w:tc>
          <w:tcPr>
            <w:tcW w:type="dxa" w:w="5669"/>
          </w:tcPr>
          <w:p>
            <w:pPr>
              <w:spacing w:before="40" w:after="80" w:lineRule="atLeast" w:line="240"/>
            </w:pPr>
            <w:r>
              <w:rPr>
                <w:sz w:val="20"/>
              </w:rPr>
              <w:t>Projects in the cement industry aimed at reducing emissions.</w:t>
            </w:r>
          </w:p>
        </w:tc>
      </w:tr>
      <w:tr>
        <w:tc>
          <w:tcPr>
            <w:tcW w:type="dxa" w:w="1701"/>
          </w:tcPr>
          <w:p>
            <w:pPr>
              <w:spacing w:before="40" w:after="80" w:lineRule="atLeast" w:line="240"/>
            </w:pPr>
            <w:r>
              <w:rPr>
                <w:sz w:val="20"/>
              </w:rPr>
              <w:t>C02 usage</w:t>
            </w:r>
          </w:p>
        </w:tc>
        <w:tc>
          <w:tcPr>
            <w:tcW w:type="dxa" w:w="5669"/>
          </w:tcPr>
          <w:p>
            <w:pPr>
              <w:spacing w:before="40" w:after="80" w:lineRule="atLeast" w:line="240"/>
            </w:pPr>
            <w:r>
              <w:rPr>
                <w:sz w:val="20"/>
              </w:rPr>
              <w:t>Projects that involve the usage of captured CO2.</w:t>
            </w:r>
          </w:p>
        </w:tc>
      </w:tr>
      <w:tr>
        <w:tc>
          <w:tcPr>
            <w:tcW w:type="dxa" w:w="1701"/>
          </w:tcPr>
          <w:p>
            <w:pPr>
              <w:spacing w:before="40" w:after="80" w:lineRule="atLeast" w:line="240"/>
            </w:pPr>
            <w:r>
              <w:rPr>
                <w:sz w:val="20"/>
              </w:rPr>
              <w:t>Coal bed/mine methane</w:t>
            </w:r>
          </w:p>
        </w:tc>
        <w:tc>
          <w:tcPr>
            <w:tcW w:type="dxa" w:w="5669"/>
          </w:tcPr>
          <w:p>
            <w:pPr>
              <w:spacing w:before="40" w:after="80" w:lineRule="atLeast" w:line="240"/>
            </w:pPr>
            <w:r>
              <w:rPr>
                <w:sz w:val="20"/>
              </w:rPr>
              <w:t>Projects that capture and utilize methane from coal beds or mines.</w:t>
            </w:r>
          </w:p>
        </w:tc>
      </w:tr>
      <w:tr>
        <w:tc>
          <w:tcPr>
            <w:tcW w:type="dxa" w:w="1701"/>
          </w:tcPr>
          <w:p>
            <w:pPr>
              <w:spacing w:before="40" w:after="80" w:lineRule="atLeast" w:line="240"/>
            </w:pPr>
            <w:r>
              <w:rPr>
                <w:sz w:val="20"/>
              </w:rPr>
              <w:t>Energy distribution</w:t>
            </w:r>
          </w:p>
        </w:tc>
        <w:tc>
          <w:tcPr>
            <w:tcW w:type="dxa" w:w="5669"/>
          </w:tcPr>
          <w:p>
            <w:pPr>
              <w:spacing w:before="40" w:after="80" w:lineRule="atLeast" w:line="240"/>
            </w:pPr>
            <w:r>
              <w:rPr>
                <w:sz w:val="20"/>
              </w:rPr>
              <w:t>Projects aimed at improving the efficiency of energy distribution.</w:t>
            </w:r>
          </w:p>
        </w:tc>
      </w:tr>
      <w:tr>
        <w:tc>
          <w:tcPr>
            <w:tcW w:type="dxa" w:w="1701"/>
          </w:tcPr>
          <w:p>
            <w:pPr>
              <w:spacing w:before="40" w:after="80" w:lineRule="atLeast" w:line="240"/>
            </w:pPr>
            <w:r>
              <w:rPr>
                <w:sz w:val="20"/>
              </w:rPr>
              <w:t>Energy Efficiency households</w:t>
            </w:r>
          </w:p>
        </w:tc>
        <w:tc>
          <w:tcPr>
            <w:tcW w:type="dxa" w:w="5669"/>
          </w:tcPr>
          <w:p>
            <w:pPr>
              <w:spacing w:before="40" w:after="80" w:lineRule="atLeast" w:line="240"/>
            </w:pPr>
            <w:r>
              <w:rPr>
                <w:sz w:val="20"/>
              </w:rPr>
              <w:t>Projects aimed at improving energy efficiency in households.</w:t>
            </w:r>
          </w:p>
        </w:tc>
      </w:tr>
      <w:tr>
        <w:tc>
          <w:tcPr>
            <w:tcW w:type="dxa" w:w="1701"/>
          </w:tcPr>
          <w:p>
            <w:pPr>
              <w:spacing w:before="40" w:after="80" w:lineRule="atLeast" w:line="240"/>
            </w:pPr>
            <w:r>
              <w:rPr>
                <w:sz w:val="20"/>
              </w:rPr>
              <w:t>Energy Efficiency Industry</w:t>
            </w:r>
          </w:p>
        </w:tc>
        <w:tc>
          <w:tcPr>
            <w:tcW w:type="dxa" w:w="5669"/>
          </w:tcPr>
          <w:p>
            <w:pPr>
              <w:spacing w:before="40" w:after="80" w:lineRule="atLeast" w:line="240"/>
            </w:pPr>
            <w:r>
              <w:rPr>
                <w:sz w:val="20"/>
              </w:rPr>
              <w:t xml:space="preserve">Projects aimed at improving energy efficiency in the industrial sector. </w:t>
            </w:r>
          </w:p>
        </w:tc>
      </w:tr>
      <w:tr>
        <w:tc>
          <w:tcPr>
            <w:tcW w:type="dxa" w:w="1701"/>
          </w:tcPr>
          <w:p>
            <w:pPr>
              <w:spacing w:before="40" w:after="80" w:lineRule="atLeast" w:line="240"/>
            </w:pPr>
            <w:r>
              <w:rPr>
                <w:sz w:val="20"/>
              </w:rPr>
              <w:t>Energy Efficiency own generation</w:t>
            </w:r>
          </w:p>
        </w:tc>
        <w:tc>
          <w:tcPr>
            <w:tcW w:type="dxa" w:w="5669"/>
          </w:tcPr>
          <w:p>
            <w:pPr>
              <w:spacing w:before="40" w:after="80" w:lineRule="atLeast" w:line="240"/>
            </w:pPr>
            <w:r>
              <w:rPr>
                <w:sz w:val="20"/>
              </w:rPr>
              <w:t>Projects aimed at improving energy efficiency in own generation facilities.</w:t>
            </w:r>
          </w:p>
        </w:tc>
      </w:tr>
      <w:tr>
        <w:tc>
          <w:tcPr>
            <w:tcW w:type="dxa" w:w="1701"/>
          </w:tcPr>
          <w:p>
            <w:pPr>
              <w:spacing w:before="40" w:after="80" w:lineRule="atLeast" w:line="240"/>
            </w:pPr>
            <w:r>
              <w:rPr>
                <w:sz w:val="20"/>
              </w:rPr>
              <w:t>Energy Efficiency service</w:t>
            </w:r>
          </w:p>
        </w:tc>
        <w:tc>
          <w:tcPr>
            <w:tcW w:type="dxa" w:w="5669"/>
          </w:tcPr>
          <w:p>
            <w:pPr>
              <w:spacing w:before="40" w:after="80" w:lineRule="atLeast" w:line="240"/>
            </w:pPr>
            <w:r>
              <w:rPr>
                <w:sz w:val="20"/>
              </w:rPr>
              <w:t>Projects aimed at improving energy efficiency in the service sector.</w:t>
            </w:r>
          </w:p>
        </w:tc>
      </w:tr>
      <w:tr>
        <w:tc>
          <w:tcPr>
            <w:tcW w:type="dxa" w:w="1701"/>
          </w:tcPr>
          <w:p>
            <w:pPr>
              <w:spacing w:before="40" w:after="80" w:lineRule="atLeast" w:line="240"/>
            </w:pPr>
            <w:r>
              <w:rPr>
                <w:sz w:val="20"/>
              </w:rPr>
              <w:t>Energy Efficiency supply side</w:t>
            </w:r>
          </w:p>
        </w:tc>
        <w:tc>
          <w:tcPr>
            <w:tcW w:type="dxa" w:w="5669"/>
          </w:tcPr>
          <w:p>
            <w:pPr>
              <w:spacing w:before="40" w:after="80" w:lineRule="atLeast" w:line="240"/>
            </w:pPr>
            <w:r>
              <w:rPr>
                <w:sz w:val="20"/>
              </w:rPr>
              <w:t>Projects aimed at improving energy efficiency on the supply side.</w:t>
            </w:r>
          </w:p>
        </w:tc>
      </w:tr>
      <w:tr>
        <w:tc>
          <w:tcPr>
            <w:tcW w:type="dxa" w:w="1701"/>
          </w:tcPr>
          <w:p>
            <w:pPr>
              <w:spacing w:before="40" w:after="80" w:lineRule="atLeast" w:line="240"/>
            </w:pPr>
            <w:r>
              <w:rPr>
                <w:sz w:val="20"/>
              </w:rPr>
              <w:t>Fossil fuel switch</w:t>
            </w:r>
          </w:p>
        </w:tc>
        <w:tc>
          <w:tcPr>
            <w:tcW w:type="dxa" w:w="5669"/>
          </w:tcPr>
          <w:p>
            <w:pPr>
              <w:spacing w:before="40" w:after="80" w:lineRule="atLeast" w:line="240"/>
            </w:pPr>
            <w:r>
              <w:rPr>
                <w:sz w:val="20"/>
              </w:rPr>
              <w:t>Projects that switch from fossil fuels to cleaner energy sources.</w:t>
            </w:r>
          </w:p>
        </w:tc>
      </w:tr>
      <w:tr>
        <w:tc>
          <w:tcPr>
            <w:tcW w:type="dxa" w:w="1701"/>
          </w:tcPr>
          <w:p>
            <w:pPr>
              <w:spacing w:before="40" w:after="80" w:lineRule="atLeast" w:line="240"/>
            </w:pPr>
            <w:r>
              <w:rPr>
                <w:sz w:val="20"/>
              </w:rPr>
              <w:t>Fugitive</w:t>
            </w:r>
          </w:p>
        </w:tc>
        <w:tc>
          <w:tcPr>
            <w:tcW w:type="dxa" w:w="5669"/>
          </w:tcPr>
          <w:p>
            <w:pPr>
              <w:spacing w:before="40" w:after="80" w:lineRule="atLeast" w:line="240"/>
            </w:pPr>
            <w:r>
              <w:rPr>
                <w:sz w:val="20"/>
              </w:rPr>
              <w:t>Projects that capture fugitive emissions from industrial processes.</w:t>
            </w:r>
          </w:p>
        </w:tc>
      </w:tr>
      <w:tr>
        <w:tc>
          <w:tcPr>
            <w:tcW w:type="dxa" w:w="1701"/>
          </w:tcPr>
          <w:p>
            <w:pPr>
              <w:spacing w:before="40" w:after="80" w:lineRule="atLeast" w:line="240"/>
            </w:pPr>
            <w:r>
              <w:rPr>
                <w:sz w:val="20"/>
              </w:rPr>
              <w:t>Geothermal</w:t>
            </w:r>
          </w:p>
        </w:tc>
        <w:tc>
          <w:tcPr>
            <w:tcW w:type="dxa" w:w="5669"/>
          </w:tcPr>
          <w:p>
            <w:pPr>
              <w:spacing w:before="40" w:after="80" w:lineRule="atLeast" w:line="240"/>
            </w:pPr>
            <w:r>
              <w:rPr>
                <w:sz w:val="20"/>
              </w:rPr>
              <w:t>Projects that generate energy from geothermal sources.</w:t>
            </w:r>
          </w:p>
        </w:tc>
      </w:tr>
      <w:tr>
        <w:tc>
          <w:tcPr>
            <w:tcW w:type="dxa" w:w="1701"/>
          </w:tcPr>
          <w:p>
            <w:pPr>
              <w:spacing w:before="40" w:after="80" w:lineRule="atLeast" w:line="240"/>
            </w:pPr>
            <w:r>
              <w:rPr>
                <w:sz w:val="20"/>
              </w:rPr>
              <w:t>Hydro</w:t>
            </w:r>
          </w:p>
        </w:tc>
        <w:tc>
          <w:tcPr>
            <w:tcW w:type="dxa" w:w="5669"/>
          </w:tcPr>
          <w:p>
            <w:pPr>
              <w:spacing w:before="40" w:after="80" w:lineRule="atLeast" w:line="240"/>
            </w:pPr>
            <w:r>
              <w:rPr>
                <w:sz w:val="20"/>
              </w:rPr>
              <w:t>Projects that generate electricity from hydroelectric sources.</w:t>
            </w:r>
          </w:p>
        </w:tc>
      </w:tr>
      <w:tr>
        <w:tc>
          <w:tcPr>
            <w:tcW w:type="dxa" w:w="1701"/>
          </w:tcPr>
          <w:p>
            <w:pPr>
              <w:spacing w:before="40" w:after="80" w:lineRule="atLeast" w:line="240"/>
            </w:pPr>
            <w:r>
              <w:rPr>
                <w:sz w:val="20"/>
              </w:rPr>
              <w:t>Landfill gas</w:t>
            </w:r>
          </w:p>
        </w:tc>
        <w:tc>
          <w:tcPr>
            <w:tcW w:type="dxa" w:w="5669"/>
          </w:tcPr>
          <w:p>
            <w:pPr>
              <w:spacing w:before="40" w:after="80" w:lineRule="atLeast" w:line="240"/>
            </w:pPr>
            <w:r>
              <w:rPr>
                <w:sz w:val="20"/>
              </w:rPr>
              <w:t>Projects that capture and utilize landfill gas for energy production.</w:t>
            </w:r>
          </w:p>
        </w:tc>
      </w:tr>
      <w:tr>
        <w:tc>
          <w:tcPr>
            <w:tcW w:type="dxa" w:w="1701"/>
          </w:tcPr>
          <w:p>
            <w:pPr>
              <w:spacing w:before="40" w:after="80" w:lineRule="atLeast" w:line="240"/>
            </w:pPr>
            <w:r>
              <w:rPr>
                <w:sz w:val="20"/>
              </w:rPr>
              <w:t>Methane avoidance</w:t>
            </w:r>
          </w:p>
        </w:tc>
        <w:tc>
          <w:tcPr>
            <w:tcW w:type="dxa" w:w="5669"/>
          </w:tcPr>
          <w:p>
            <w:pPr>
              <w:spacing w:before="40" w:after="80" w:lineRule="atLeast" w:line="240"/>
            </w:pPr>
            <w:r>
              <w:rPr>
                <w:sz w:val="20"/>
              </w:rPr>
              <w:t>Projects that avoid methane emissions through various methods.</w:t>
            </w:r>
          </w:p>
        </w:tc>
      </w:tr>
      <w:tr>
        <w:tc>
          <w:tcPr>
            <w:tcW w:type="dxa" w:w="1701"/>
          </w:tcPr>
          <w:p>
            <w:pPr>
              <w:spacing w:before="40" w:after="80" w:lineRule="atLeast" w:line="240"/>
            </w:pPr>
            <w:r>
              <w:rPr>
                <w:sz w:val="20"/>
              </w:rPr>
              <w:t>N2O</w:t>
            </w:r>
          </w:p>
        </w:tc>
        <w:tc>
          <w:tcPr>
            <w:tcW w:type="dxa" w:w="5669"/>
          </w:tcPr>
          <w:p>
            <w:pPr>
              <w:spacing w:before="40" w:after="80" w:lineRule="atLeast" w:line="240"/>
            </w:pPr>
            <w:r>
              <w:rPr>
                <w:sz w:val="20"/>
              </w:rPr>
              <w:t>Projects that reduce emissions of nitrous oxide (N2O).</w:t>
            </w:r>
          </w:p>
        </w:tc>
      </w:tr>
      <w:tr>
        <w:tc>
          <w:tcPr>
            <w:tcW w:type="dxa" w:w="1701"/>
          </w:tcPr>
          <w:p>
            <w:pPr>
              <w:spacing w:before="40" w:after="80" w:lineRule="atLeast" w:line="240"/>
            </w:pPr>
            <w:r>
              <w:rPr>
                <w:sz w:val="20"/>
              </w:rPr>
              <w:t>PFCs and SF6</w:t>
            </w:r>
          </w:p>
        </w:tc>
        <w:tc>
          <w:tcPr>
            <w:tcW w:type="dxa" w:w="5669"/>
          </w:tcPr>
          <w:p>
            <w:pPr>
              <w:spacing w:before="40" w:after="80" w:lineRule="atLeast" w:line="240"/>
            </w:pPr>
            <w:r>
              <w:rPr>
                <w:sz w:val="20"/>
              </w:rPr>
              <w:t>Projects that reduce emissions of perfluorocarbons (PFCs) and sulfur hexafluoride (SF6).</w:t>
            </w:r>
          </w:p>
        </w:tc>
      </w:tr>
      <w:tr>
        <w:tc>
          <w:tcPr>
            <w:tcW w:type="dxa" w:w="1701"/>
          </w:tcPr>
          <w:p>
            <w:pPr>
              <w:spacing w:before="40" w:after="80" w:lineRule="atLeast" w:line="240"/>
            </w:pPr>
            <w:r>
              <w:rPr>
                <w:sz w:val="20"/>
              </w:rPr>
              <w:t>Reforestation</w:t>
            </w:r>
          </w:p>
        </w:tc>
        <w:tc>
          <w:tcPr>
            <w:tcW w:type="dxa" w:w="5669"/>
          </w:tcPr>
          <w:p>
            <w:pPr>
              <w:spacing w:before="40" w:after="80" w:lineRule="atLeast" w:line="240"/>
            </w:pPr>
            <w:r>
              <w:rPr>
                <w:sz w:val="20"/>
              </w:rPr>
              <w:t xml:space="preserve">Projects that involve the reforestation of land. </w:t>
            </w:r>
          </w:p>
        </w:tc>
      </w:tr>
      <w:tr>
        <w:tc>
          <w:tcPr>
            <w:tcW w:type="dxa" w:w="1701"/>
          </w:tcPr>
          <w:p>
            <w:pPr>
              <w:spacing w:before="40" w:after="80" w:lineRule="atLeast" w:line="240"/>
            </w:pPr>
            <w:r>
              <w:rPr>
                <w:sz w:val="20"/>
              </w:rPr>
              <w:t>Solar</w:t>
            </w:r>
          </w:p>
        </w:tc>
        <w:tc>
          <w:tcPr>
            <w:tcW w:type="dxa" w:w="5669"/>
          </w:tcPr>
          <w:p>
            <w:pPr>
              <w:spacing w:before="40" w:after="80" w:lineRule="atLeast" w:line="240"/>
            </w:pPr>
            <w:r>
              <w:rPr>
                <w:sz w:val="20"/>
              </w:rPr>
              <w:t>Projects that generate electricity from solar power.</w:t>
            </w:r>
          </w:p>
        </w:tc>
      </w:tr>
      <w:tr>
        <w:tc>
          <w:tcPr>
            <w:tcW w:type="dxa" w:w="1701"/>
          </w:tcPr>
          <w:p>
            <w:pPr>
              <w:spacing w:before="40" w:after="80" w:lineRule="atLeast" w:line="240"/>
            </w:pPr>
            <w:r>
              <w:rPr>
                <w:sz w:val="20"/>
              </w:rPr>
              <w:t>Tidal</w:t>
            </w:r>
          </w:p>
        </w:tc>
        <w:tc>
          <w:tcPr>
            <w:tcW w:type="dxa" w:w="5669"/>
          </w:tcPr>
          <w:p>
            <w:pPr>
              <w:spacing w:before="40" w:after="80" w:lineRule="atLeast" w:line="240"/>
            </w:pPr>
            <w:r>
              <w:rPr>
                <w:sz w:val="20"/>
              </w:rPr>
              <w:t>Projects that generate electricity from tidal energy.</w:t>
            </w:r>
          </w:p>
        </w:tc>
      </w:tr>
      <w:tr>
        <w:tc>
          <w:tcPr>
            <w:tcW w:type="dxa" w:w="1701"/>
          </w:tcPr>
          <w:p>
            <w:pPr>
              <w:spacing w:before="40" w:after="80" w:lineRule="atLeast" w:line="240"/>
            </w:pPr>
            <w:r>
              <w:rPr>
                <w:sz w:val="20"/>
              </w:rPr>
              <w:t>Transport</w:t>
            </w:r>
          </w:p>
        </w:tc>
        <w:tc>
          <w:tcPr>
            <w:tcW w:type="dxa" w:w="5669"/>
          </w:tcPr>
          <w:p>
            <w:pPr>
              <w:spacing w:before="40" w:after="80" w:lineRule="atLeast" w:line="240"/>
            </w:pPr>
            <w:r>
              <w:rPr>
                <w:sz w:val="20"/>
              </w:rPr>
              <w:t>Projects aimed at reducing emissions from transport.</w:t>
            </w:r>
          </w:p>
        </w:tc>
      </w:tr>
      <w:tr>
        <w:tc>
          <w:tcPr>
            <w:tcW w:type="dxa" w:w="1701"/>
          </w:tcPr>
          <w:p>
            <w:pPr>
              <w:spacing w:before="40" w:after="80" w:lineRule="atLeast" w:line="240"/>
            </w:pPr>
            <w:r>
              <w:rPr>
                <w:sz w:val="20"/>
              </w:rPr>
              <w:t>Waste</w:t>
            </w:r>
          </w:p>
        </w:tc>
        <w:tc>
          <w:tcPr>
            <w:tcW w:type="dxa" w:w="5669"/>
          </w:tcPr>
          <w:p>
            <w:pPr>
              <w:spacing w:before="40" w:after="80" w:lineRule="atLeast" w:line="240"/>
            </w:pPr>
            <w:r>
              <w:rPr>
                <w:sz w:val="20"/>
              </w:rPr>
              <w:t>Projects aimed at reducing waste and emissions from waste management.</w:t>
            </w:r>
          </w:p>
        </w:tc>
      </w:tr>
      <w:tr>
        <w:tc>
          <w:tcPr>
            <w:tcW w:type="dxa" w:w="1701"/>
            <w:tcBorders>
              <w:bottom w:sz="12" w:val="single" w:color="#000000" w:space="0"/>
            </w:tcBorders>
          </w:tcPr>
          <w:p>
            <w:pPr>
              <w:spacing w:before="40" w:after="80" w:lineRule="atLeast" w:line="240"/>
            </w:pPr>
            <w:r>
              <w:rPr>
                <w:sz w:val="20"/>
              </w:rPr>
              <w:t>Wind</w:t>
            </w:r>
          </w:p>
        </w:tc>
        <w:tc>
          <w:tcPr>
            <w:tcW w:type="dxa" w:w="5669"/>
            <w:tcBorders>
              <w:bottom w:sz="12" w:val="single" w:color="#000000" w:space="0"/>
            </w:tcBorders>
          </w:tcPr>
          <w:p>
            <w:pPr>
              <w:spacing w:before="40" w:after="80" w:lineRule="atLeast" w:line="240"/>
            </w:pPr>
            <w:r>
              <w:rPr>
                <w:sz w:val="20"/>
              </w:rPr>
              <w:t>Projects that generate electricity from wind power.</w:t>
            </w:r>
          </w:p>
        </w:tc>
      </w:tr>
    </w:tbl>
    <w:p>
      <w:pPr>
        <w:spacing w:before="0" w:after="120"/>
      </w:pPr>
    </w:p>
    <w:p>
      <w:pPr>
        <w:keepNext/>
        <w:spacing w:before="0" w:after="120"/>
        <w:ind w:left="1134"/>
      </w:pPr>
      <w:r>
        <w:t>Table 52(a)</w:t>
        <w:br/>
      </w:r>
      <w:r>
        <w:rPr>
          <w:b/>
        </w:rPr>
        <w:t>Account Type: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Minimum Account Types supported by the mechanism registry, under Article 6.4, Decision 7.CMA.4, Annex I - paragraph 32</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TBD</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not applicable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AccountType</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52(b) below</w:t>
            </w:r>
          </w:p>
        </w:tc>
      </w:tr>
    </w:tbl>
    <w:p>
      <w:pPr>
        <w:spacing w:before="0" w:after="120"/>
      </w:pPr>
    </w:p>
    <w:p>
      <w:pPr>
        <w:spacing w:before="0" w:after="120"/>
        <w:ind w:left="1134"/>
      </w:pPr>
      <w:r>
        <w:t>Table 52(b)</w:t>
        <w:br/>
      </w:r>
      <w:r>
        <w:rPr>
          <w:b/>
        </w:rPr>
        <w:t>Account Type: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100</w:t>
            </w:r>
          </w:p>
        </w:tc>
        <w:tc>
          <w:tcPr>
            <w:tcW w:type="dxa" w:w="5669"/>
          </w:tcPr>
          <w:p>
            <w:pPr>
              <w:spacing w:before="40" w:after="80" w:lineRule="atLeast" w:line="240"/>
            </w:pPr>
            <w:r>
              <w:rPr>
                <w:sz w:val="20"/>
              </w:rPr>
              <w:t>Holding.</w:t>
              <w:br/>
              <w:t>Authorised MOs are registered to 100 Holding accounts.</w:t>
              <w:br/>
              <w:t>ITMOs are transferred to and from 100 Holding accounts.</w:t>
              <w:br/>
              <w:t>See decision 2/CMA.3, annex, para. 29.</w:t>
              <w:br/>
              <w:t>Note: if a participating Party registry requires Pending and/or Authorized entity holding accounts, or additional types of holding accounts, it is its responsibility to determine how it will identify these account subtypes within its registry, as long as it transfers ITMOs to and from other registries using 100 Holding accounts.</w:t>
              <w:br/>
              <w:t>Also, Pending, Holding, Party holding, Authorized entity holding, and Share of proceeds of adaptation accounts in the Art 6.4 mechanism registry are 100 Holding accounts from the point of view of these standards (see decision 3/CMA.3, annex, paras. 58, 60 and 63).</w:t>
            </w:r>
          </w:p>
        </w:tc>
      </w:tr>
      <w:tr>
        <w:tc>
          <w:tcPr>
            <w:tcW w:type="dxa" w:w="1701"/>
          </w:tcPr>
          <w:p>
            <w:pPr>
              <w:spacing w:before="40" w:after="80" w:lineRule="atLeast" w:line="240"/>
            </w:pPr>
            <w:r>
              <w:rPr>
                <w:sz w:val="20"/>
              </w:rPr>
              <w:t>200</w:t>
            </w:r>
          </w:p>
        </w:tc>
        <w:tc>
          <w:tcPr>
            <w:tcW w:type="dxa" w:w="5669"/>
          </w:tcPr>
          <w:p>
            <w:pPr>
              <w:spacing w:before="40" w:after="80" w:lineRule="atLeast" w:line="240"/>
            </w:pPr>
            <w:r>
              <w:rPr>
                <w:sz w:val="20"/>
              </w:rPr>
              <w:t>Use towards NCD.</w:t>
              <w:br/>
              <w:t>When an ITMO is used towards NDC, it is transferred from a 100 Holding account to a 200 Use towards NDC account located in the same registry.</w:t>
              <w:br/>
              <w:t>See decision 2/CMA.3, annex, para. 29.</w:t>
            </w:r>
          </w:p>
        </w:tc>
      </w:tr>
      <w:tr>
        <w:tc>
          <w:tcPr>
            <w:tcW w:type="dxa" w:w="1701"/>
          </w:tcPr>
          <w:p>
            <w:pPr>
              <w:spacing w:before="40" w:after="80" w:lineRule="atLeast" w:line="240"/>
            </w:pPr>
            <w:r>
              <w:rPr>
                <w:sz w:val="20"/>
              </w:rPr>
              <w:t>210</w:t>
            </w:r>
          </w:p>
        </w:tc>
        <w:tc>
          <w:tcPr>
            <w:tcW w:type="dxa" w:w="5669"/>
          </w:tcPr>
          <w:p>
            <w:pPr>
              <w:spacing w:before="40" w:after="80" w:lineRule="atLeast" w:line="240"/>
            </w:pPr>
            <w:r>
              <w:rPr>
                <w:sz w:val="20"/>
              </w:rPr>
              <w:t>Use towards international mitigation purposes (IMP).</w:t>
              <w:br/>
              <w:t>When an ITMO is used towards IMP, it is transferred from a 100 Holding account to a 210 Use towards international mitigation purposes (IMP) located in the same registry.</w:t>
              <w:br/>
              <w:t>See decision 2/CMA.3, annex, para. 29 and decision 4/CMA.6, annex, table 3, footnote u.</w:t>
            </w:r>
          </w:p>
        </w:tc>
      </w:tr>
      <w:tr>
        <w:tc>
          <w:tcPr>
            <w:tcW w:type="dxa" w:w="1701"/>
          </w:tcPr>
          <w:p>
            <w:pPr>
              <w:spacing w:before="40" w:after="80" w:lineRule="atLeast" w:line="240"/>
            </w:pPr>
            <w:r>
              <w:rPr>
                <w:sz w:val="20"/>
              </w:rPr>
              <w:t>300</w:t>
            </w:r>
          </w:p>
        </w:tc>
        <w:tc>
          <w:tcPr>
            <w:tcW w:type="dxa" w:w="5669"/>
          </w:tcPr>
          <w:p>
            <w:pPr>
              <w:spacing w:before="40" w:after="80" w:lineRule="atLeast" w:line="240"/>
            </w:pPr>
            <w:r>
              <w:rPr>
                <w:sz w:val="20"/>
              </w:rPr>
              <w:t>Cancellation for other purposes (OP).</w:t>
              <w:br/>
              <w:t>When an ITMO is cancelled for other purposes (OP), it is transferred from a 100 Holding account to a 300 Cancellation for other purposes (OP) account located in the same registry.</w:t>
              <w:br/>
              <w:t>See decision 2/CMA.3, annex, para. 29 and decision 4/CMA.6, annex, table 3, footnote u.</w:t>
            </w:r>
          </w:p>
        </w:tc>
      </w:tr>
      <w:tr>
        <w:tc>
          <w:tcPr>
            <w:tcW w:type="dxa" w:w="1701"/>
          </w:tcPr>
          <w:p>
            <w:pPr>
              <w:spacing w:before="40" w:after="80" w:lineRule="atLeast" w:line="240"/>
            </w:pPr>
            <w:r>
              <w:rPr>
                <w:sz w:val="20"/>
              </w:rPr>
              <w:t>310</w:t>
            </w:r>
          </w:p>
        </w:tc>
        <w:tc>
          <w:tcPr>
            <w:tcW w:type="dxa" w:w="5669"/>
          </w:tcPr>
          <w:p>
            <w:pPr>
              <w:spacing w:before="40" w:after="80" w:lineRule="atLeast" w:line="240"/>
            </w:pPr>
            <w:r>
              <w:rPr>
                <w:sz w:val="20"/>
              </w:rPr>
              <w:t>Voluntary cancellation of ITMOs not counted towards NDC or OIMP, for OMGE.</w:t>
              <w:br/>
              <w:t>When ITMOs not counted towards NDC or OIMP are voluntarily cancelled for OMGE, it is transferred from a 100 Holding account to a 310 Voluntary cancellation of ITMOs not counted towards NDC or OIMP, for OMGE, located in the same registry.</w:t>
              <w:br/>
              <w:t>See decision 2/CMA.3, annex, para. 39.</w:t>
            </w:r>
          </w:p>
        </w:tc>
      </w:tr>
      <w:tr>
        <w:tc>
          <w:tcPr>
            <w:tcW w:type="dxa" w:w="1701"/>
          </w:tcPr>
          <w:p>
            <w:pPr>
              <w:spacing w:before="40" w:after="80" w:lineRule="atLeast" w:line="240"/>
            </w:pPr>
            <w:r>
              <w:rPr>
                <w:sz w:val="20"/>
              </w:rPr>
              <w:t>320</w:t>
            </w:r>
          </w:p>
        </w:tc>
        <w:tc>
          <w:tcPr>
            <w:tcW w:type="dxa" w:w="5669"/>
          </w:tcPr>
          <w:p>
            <w:pPr>
              <w:spacing w:before="40" w:after="80" w:lineRule="atLeast" w:line="240"/>
            </w:pPr>
            <w:r>
              <w:rPr>
                <w:sz w:val="20"/>
              </w:rPr>
              <w:t>Voluntary cancellation.</w:t>
              <w:br/>
              <w:t>When an ITMO is cancelled voluntarily for another reason than the ones specified in account type 300, 310 and 330, it is transferred from a 100 Holding account to a 320 Voluntary cancellation account, account located in the same registry.</w:t>
              <w:br/>
              <w:t>See decision 2/CMA.3, annex, para. 29 and decision 3/CMA.3, annex, para. 61.</w:t>
            </w:r>
          </w:p>
        </w:tc>
      </w:tr>
      <w:tr>
        <w:tc>
          <w:tcPr>
            <w:tcW w:type="dxa" w:w="1701"/>
            <w:tcBorders>
              <w:bottom w:sz="12" w:val="single" w:color="#000000" w:space="0"/>
            </w:tcBorders>
          </w:tcPr>
          <w:p>
            <w:pPr>
              <w:spacing w:before="40" w:after="80" w:lineRule="atLeast" w:line="240"/>
            </w:pPr>
            <w:r>
              <w:rPr>
                <w:sz w:val="20"/>
              </w:rPr>
              <w:t>330</w:t>
            </w:r>
          </w:p>
        </w:tc>
        <w:tc>
          <w:tcPr>
            <w:tcW w:type="dxa" w:w="5669"/>
            <w:tcBorders>
              <w:bottom w:sz="12" w:val="single" w:color="#000000" w:space="0"/>
            </w:tcBorders>
          </w:tcPr>
          <w:p>
            <w:pPr>
              <w:spacing w:before="40" w:after="80" w:lineRule="atLeast" w:line="240"/>
            </w:pPr>
            <w:r>
              <w:rPr>
                <w:sz w:val="20"/>
              </w:rPr>
              <w:t>Administrative cancellation.</w:t>
              <w:br/>
              <w:t>When an ITMO is cancelled for administrative reasons, it is transferred from a 100 Holding account to a 330 Administrative cancellation account located in the same registry.</w:t>
              <w:br/>
              <w:t>See decision 2/CMA.3, annex, para. 29.</w:t>
            </w:r>
          </w:p>
        </w:tc>
      </w:tr>
    </w:tbl>
    <w:p>
      <w:pPr>
        <w:spacing w:before="0" w:after="120"/>
      </w:pPr>
    </w:p>
    <w:p>
      <w:pPr>
        <w:keepNext/>
        <w:spacing w:before="0" w:after="120"/>
        <w:ind w:left="1134"/>
      </w:pPr>
      <w:r>
        <w:t>Table 53(a)</w:t>
        <w:br/>
      </w:r>
      <w:r>
        <w:rPr>
          <w:b/>
        </w:rPr>
        <w:t>Unit Type: metadata</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Element</w:t>
            </w:r>
          </w:p>
        </w:tc>
        <w:tc>
          <w:tcPr>
            <w:tcW w:type="dxa" w:w="5669"/>
            <w:tcBorders>
              <w:top w:sz="4" w:val="single" w:color="#000000" w:space="0"/>
              <w:bottom w:sz="12" w:val="single" w:color="#000000" w:space="0"/>
            </w:tcBorders>
          </w:tcPr>
          <w:p>
            <w:pPr>
              <w:spacing w:before="40" w:after="40" w:lineRule="exact" w:line="180"/>
            </w:pPr>
            <w:r>
              <w:rPr>
                <w:i/>
                <w:sz w:val="16"/>
              </w:rPr>
              <w:t>Value</w:t>
            </w:r>
          </w:p>
        </w:tc>
      </w:tr>
      <w:tr>
        <w:tc>
          <w:tcPr>
            <w:tcW w:type="dxa" w:w="1701"/>
          </w:tcPr>
          <w:p>
            <w:pPr>
              <w:spacing w:before="40" w:after="80" w:lineRule="atLeast" w:line="240"/>
            </w:pPr>
            <w:r>
              <w:rPr>
                <w:sz w:val="20"/>
              </w:rPr>
              <w:t>Description</w:t>
            </w:r>
          </w:p>
        </w:tc>
        <w:tc>
          <w:tcPr>
            <w:tcW w:type="dxa" w:w="5669"/>
          </w:tcPr>
          <w:p>
            <w:pPr>
              <w:spacing w:before="40" w:after="80" w:lineRule="atLeast" w:line="240"/>
            </w:pPr>
            <w:r>
              <w:rPr>
                <w:sz w:val="20"/>
              </w:rPr>
              <w:t>Article 6 unit types</w:t>
            </w:r>
          </w:p>
        </w:tc>
      </w:tr>
      <w:tr>
        <w:tc>
          <w:tcPr>
            <w:tcW w:type="dxa" w:w="1701"/>
          </w:tcPr>
          <w:p>
            <w:pPr>
              <w:spacing w:before="40" w:after="80" w:lineRule="atLeast" w:line="240"/>
            </w:pPr>
            <w:r>
              <w:rPr>
                <w:sz w:val="20"/>
              </w:rPr>
              <w:t>Mandate(s)</w:t>
            </w:r>
          </w:p>
        </w:tc>
        <w:tc>
          <w:tcPr>
            <w:tcW w:type="dxa" w:w="5669"/>
          </w:tcPr>
          <w:p>
            <w:pPr>
              <w:spacing w:before="40" w:after="80" w:lineRule="atLeast" w:line="240"/>
            </w:pPr>
            <w:r>
              <w:rPr>
                <w:sz w:val="20"/>
              </w:rPr>
              <w:t>TBD</w:t>
            </w:r>
          </w:p>
        </w:tc>
      </w:tr>
      <w:tr>
        <w:tc>
          <w:tcPr>
            <w:tcW w:type="dxa" w:w="1701"/>
          </w:tcPr>
          <w:p>
            <w:pPr>
              <w:spacing w:before="40" w:after="80" w:lineRule="atLeast" w:line="240"/>
            </w:pPr>
            <w:r>
              <w:rPr>
                <w:sz w:val="20"/>
              </w:rPr>
              <w:t>Type</w:t>
            </w:r>
          </w:p>
        </w:tc>
        <w:tc>
          <w:tcPr>
            <w:tcW w:type="dxa" w:w="5669"/>
          </w:tcPr>
          <w:p>
            <w:pPr>
              <w:spacing w:before="40" w:after="80" w:lineRule="atLeast" w:line="240"/>
            </w:pPr>
            <w:r>
              <w:rPr>
                <w:sz w:val="20"/>
              </w:rPr>
              <w:t>integer</w:t>
            </w:r>
          </w:p>
        </w:tc>
      </w:tr>
      <w:tr>
        <w:tc>
          <w:tcPr>
            <w:tcW w:type="dxa" w:w="1701"/>
          </w:tcPr>
          <w:p>
            <w:pPr>
              <w:spacing w:before="40" w:after="80" w:lineRule="atLeast" w:line="240"/>
            </w:pPr>
            <w:r>
              <w:rPr>
                <w:sz w:val="20"/>
              </w:rPr>
              <w:t>Required</w:t>
            </w:r>
          </w:p>
        </w:tc>
        <w:tc>
          <w:tcPr>
            <w:tcW w:type="dxa" w:w="5669"/>
          </w:tcPr>
          <w:p>
            <w:pPr>
              <w:spacing w:before="40" w:after="80" w:lineRule="atLeast" w:line="240"/>
            </w:pPr>
            <w:r>
              <w:rPr>
                <w:sz w:val="20"/>
              </w:rPr>
              <w:t>false</w:t>
            </w:r>
          </w:p>
        </w:tc>
      </w:tr>
      <w:tr>
        <w:tc>
          <w:tcPr>
            <w:tcW w:type="dxa" w:w="1701"/>
          </w:tcPr>
          <w:p>
            <w:pPr>
              <w:spacing w:before="40" w:after="80" w:lineRule="atLeast" w:line="240"/>
            </w:pPr>
            <w:r>
              <w:rPr>
                <w:sz w:val="20"/>
              </w:rPr>
              <w:t>Naming in AEF</w:t>
            </w:r>
          </w:p>
        </w:tc>
        <w:tc>
          <w:tcPr>
            <w:tcW w:type="dxa" w:w="5669"/>
          </w:tcPr>
          <w:p>
            <w:pPr>
              <w:spacing w:before="40" w:after="80" w:lineRule="atLeast" w:line="240"/>
            </w:pPr>
            <w:r>
              <w:rPr>
                <w:sz w:val="20"/>
              </w:rPr>
              <w:t>not applicable</w:t>
            </w:r>
          </w:p>
        </w:tc>
      </w:tr>
      <w:tr>
        <w:tc>
          <w:tcPr>
            <w:tcW w:type="dxa" w:w="1701"/>
          </w:tcPr>
          <w:p>
            <w:pPr>
              <w:spacing w:before="40" w:after="80" w:lineRule="atLeast" w:line="240"/>
            </w:pPr>
            <w:r>
              <w:rPr>
                <w:sz w:val="20"/>
              </w:rPr>
              <w:t>Technical name</w:t>
            </w:r>
          </w:p>
        </w:tc>
        <w:tc>
          <w:tcPr>
            <w:tcW w:type="dxa" w:w="5669"/>
          </w:tcPr>
          <w:p>
            <w:pPr>
              <w:spacing w:before="40" w:after="80" w:lineRule="atLeast" w:line="240"/>
            </w:pPr>
            <w:r>
              <w:rPr>
                <w:sz w:val="20"/>
              </w:rPr>
              <w:t>UnitType</w:t>
            </w:r>
          </w:p>
        </w:tc>
      </w:tr>
      <w:tr>
        <w:tc>
          <w:tcPr>
            <w:tcW w:type="dxa" w:w="1701"/>
            <w:tcBorders>
              <w:bottom w:sz="12" w:val="single" w:color="#000000" w:space="0"/>
            </w:tcBorders>
          </w:tcPr>
          <w:p>
            <w:r>
              <w:t>List of values</w:t>
            </w:r>
          </w:p>
        </w:tc>
        <w:tc>
          <w:tcPr>
            <w:tcW w:type="dxa" w:w="5669"/>
            <w:tcBorders>
              <w:bottom w:sz="12" w:val="single" w:color="#000000" w:space="0"/>
            </w:tcBorders>
          </w:tcPr>
          <w:p>
            <w:r>
              <w:t>See table 53(b) below</w:t>
            </w:r>
          </w:p>
        </w:tc>
      </w:tr>
    </w:tbl>
    <w:p>
      <w:pPr>
        <w:spacing w:before="0" w:after="120"/>
      </w:pPr>
    </w:p>
    <w:p>
      <w:pPr>
        <w:spacing w:before="0" w:after="120"/>
        <w:ind w:left="1134"/>
      </w:pPr>
      <w:r>
        <w:t>Table 53(b)</w:t>
        <w:br/>
      </w:r>
      <w:r>
        <w:rPr>
          <w:b/>
        </w:rPr>
        <w:t>Unit Type: list of values and descriptions</w:t>
      </w:r>
    </w:p>
    <w:tbl>
      <w:tblPr>
        <w:tblW w:type="auto" w:w="0"/>
        <w:tblLayout w:type="fixed"/>
        <w:tblLook w:firstColumn="1" w:firstRow="1" w:lastColumn="0" w:lastRow="0" w:noHBand="0" w:noVBand="1" w:val="04A0"/>
        <w:tblInd w:w="1134" w:type="dxa"/>
      </w:tblPr>
      <w:tblGrid>
        <w:gridCol w:w="1701"/>
        <w:gridCol w:w="5669"/>
      </w:tblGrid>
      <w:tr>
        <w:trPr>
          <w:tblHeader w:val="true"/>
        </w:trPr>
        <w:tc>
          <w:tcPr>
            <w:tcW w:type="dxa" w:w="1701"/>
            <w:tcBorders>
              <w:top w:sz="4" w:val="single" w:color="#000000" w:space="0"/>
              <w:bottom w:sz="12" w:val="single" w:color="#000000" w:space="0"/>
            </w:tcBorders>
          </w:tcPr>
          <w:p>
            <w:pPr>
              <w:spacing w:before="40" w:after="40" w:lineRule="exact" w:line="180"/>
            </w:pPr>
            <w:r>
              <w:rPr>
                <w:i/>
                <w:sz w:val="16"/>
              </w:rPr>
              <w:t>Value</w:t>
            </w:r>
          </w:p>
        </w:tc>
        <w:tc>
          <w:tcPr>
            <w:tcW w:type="dxa" w:w="5669"/>
            <w:tcBorders>
              <w:top w:sz="4" w:val="single" w:color="#000000" w:space="0"/>
              <w:bottom w:sz="12" w:val="single" w:color="#000000" w:space="0"/>
            </w:tcBorders>
          </w:tcPr>
          <w:p>
            <w:pPr>
              <w:spacing w:before="40" w:after="40" w:lineRule="exact" w:line="180"/>
            </w:pPr>
            <w:r>
              <w:rPr>
                <w:i/>
                <w:sz w:val="16"/>
              </w:rPr>
              <w:t>Description</w:t>
            </w:r>
          </w:p>
        </w:tc>
      </w:tr>
      <w:tr>
        <w:tc>
          <w:tcPr>
            <w:tcW w:type="dxa" w:w="1701"/>
          </w:tcPr>
          <w:p>
            <w:pPr>
              <w:spacing w:before="40" w:after="80" w:lineRule="atLeast" w:line="240"/>
            </w:pPr>
            <w:r>
              <w:rPr>
                <w:sz w:val="20"/>
              </w:rPr>
              <w:t>1</w:t>
            </w:r>
          </w:p>
        </w:tc>
        <w:tc>
          <w:tcPr>
            <w:tcW w:type="dxa" w:w="5669"/>
          </w:tcPr>
          <w:p>
            <w:pPr>
              <w:spacing w:before="40" w:after="80" w:lineRule="atLeast" w:line="240"/>
            </w:pPr>
            <w:r>
              <w:rPr>
                <w:sz w:val="20"/>
              </w:rPr>
              <w:t>ITMO</w:t>
              <w:br/>
              <w:t>Internationally Transferred Mitigation Outcome, including authorized A6.4 ERs.</w:t>
              <w:br/>
              <w:t>Additional information of ITMOs are hosted in the CARP.</w:t>
            </w:r>
          </w:p>
        </w:tc>
      </w:tr>
      <w:tr>
        <w:tc>
          <w:tcPr>
            <w:tcW w:type="dxa" w:w="1701"/>
          </w:tcPr>
          <w:p>
            <w:pPr>
              <w:spacing w:before="40" w:after="80" w:lineRule="atLeast" w:line="240"/>
            </w:pPr>
            <w:r>
              <w:rPr>
                <w:sz w:val="20"/>
              </w:rPr>
              <w:t>2</w:t>
            </w:r>
          </w:p>
        </w:tc>
        <w:tc>
          <w:tcPr>
            <w:tcW w:type="dxa" w:w="5669"/>
          </w:tcPr>
          <w:p>
            <w:pPr>
              <w:spacing w:before="40" w:after="80" w:lineRule="atLeast" w:line="240"/>
            </w:pPr>
            <w:r>
              <w:rPr>
                <w:sz w:val="20"/>
              </w:rPr>
              <w:t>Unauthorized A6.4ER</w:t>
              <w:br/>
              <w:t>Unauthorized Article 6.4 Emission Reduction.</w:t>
              <w:br/>
              <w:t>Additional information of A6.4ERs are hosted in the Mechanism Registry.</w:t>
            </w:r>
          </w:p>
        </w:tc>
      </w:tr>
      <w:tr>
        <w:tc>
          <w:tcPr>
            <w:tcW w:type="dxa" w:w="1701"/>
          </w:tcPr>
          <w:p>
            <w:pPr>
              <w:spacing w:before="40" w:after="80" w:lineRule="atLeast" w:line="240"/>
            </w:pPr>
            <w:r>
              <w:rPr>
                <w:sz w:val="20"/>
              </w:rPr>
              <w:t>3</w:t>
            </w:r>
          </w:p>
        </w:tc>
        <w:tc>
          <w:tcPr>
            <w:tcW w:type="dxa" w:w="5669"/>
          </w:tcPr>
          <w:p>
            <w:pPr>
              <w:spacing w:before="40" w:after="80" w:lineRule="atLeast" w:line="240"/>
            </w:pPr>
            <w:r>
              <w:rPr>
                <w:sz w:val="20"/>
              </w:rPr>
              <w:t>Mitigation Outcome (before authorization)</w:t>
              <w:br/>
              <w:t>Unauthorised Mitigation Outcome.</w:t>
            </w:r>
          </w:p>
        </w:tc>
      </w:tr>
      <w:tr>
        <w:tc>
          <w:tcPr>
            <w:tcW w:type="dxa" w:w="1701"/>
          </w:tcPr>
          <w:p>
            <w:pPr>
              <w:spacing w:before="40" w:after="80" w:lineRule="atLeast" w:line="240"/>
            </w:pPr>
            <w:r>
              <w:rPr>
                <w:sz w:val="20"/>
              </w:rPr>
              <w:t>4</w:t>
            </w:r>
          </w:p>
        </w:tc>
        <w:tc>
          <w:tcPr>
            <w:tcW w:type="dxa" w:w="5669"/>
          </w:tcPr>
          <w:p>
            <w:pPr>
              <w:spacing w:before="40" w:after="80" w:lineRule="atLeast" w:line="240"/>
            </w:pPr>
            <w:r>
              <w:rPr>
                <w:sz w:val="20"/>
              </w:rPr>
              <w:t>AMO</w:t>
              <w:br/>
              <w:t>Authorized Mitigation Outcome.</w:t>
              <w:br/>
              <w:t>Additional information of AMOs are hosted in the CARP.</w:t>
            </w:r>
          </w:p>
        </w:tc>
      </w:tr>
      <w:tr>
        <w:tc>
          <w:tcPr>
            <w:tcW w:type="dxa" w:w="1701"/>
          </w:tcPr>
          <w:p>
            <w:pPr>
              <w:spacing w:before="40" w:after="80" w:lineRule="atLeast" w:line="240"/>
            </w:pPr>
            <w:r>
              <w:rPr>
                <w:sz w:val="20"/>
              </w:rPr>
              <w:t>5</w:t>
            </w:r>
          </w:p>
        </w:tc>
        <w:tc>
          <w:tcPr>
            <w:tcW w:type="dxa" w:w="5669"/>
          </w:tcPr>
          <w:p>
            <w:pPr>
              <w:spacing w:before="40" w:after="80" w:lineRule="atLeast" w:line="240"/>
            </w:pPr>
            <w:r>
              <w:rPr>
                <w:sz w:val="20"/>
              </w:rPr>
              <w:t>CER</w:t>
              <w:br/>
              <w:t>Article 6.4 Emission Reduction Unit from Certified Emission Reduction.</w:t>
              <w:br/>
              <w:t>Additional information of CERs are hosted in the Mechanism Registry.</w:t>
            </w:r>
          </w:p>
        </w:tc>
      </w:tr>
      <w:tr>
        <w:tc>
          <w:tcPr>
            <w:tcW w:type="dxa" w:w="1701"/>
            <w:tcBorders>
              <w:bottom w:sz="12" w:val="single" w:color="#000000" w:space="0"/>
            </w:tcBorders>
          </w:tcPr>
          <w:p>
            <w:pPr>
              <w:spacing w:before="40" w:after="80" w:lineRule="atLeast" w:line="240"/>
            </w:pPr>
            <w:r>
              <w:rPr>
                <w:sz w:val="20"/>
              </w:rPr>
              <w:t>6</w:t>
            </w:r>
          </w:p>
        </w:tc>
        <w:tc>
          <w:tcPr>
            <w:tcW w:type="dxa" w:w="5669"/>
            <w:tcBorders>
              <w:bottom w:sz="12" w:val="single" w:color="#000000" w:space="0"/>
            </w:tcBorders>
          </w:tcPr>
          <w:p>
            <w:pPr>
              <w:spacing w:before="40" w:after="80" w:lineRule="atLeast" w:line="240"/>
            </w:pPr>
            <w:r>
              <w:rPr>
                <w:sz w:val="20"/>
              </w:rPr>
              <w:t>MCU</w:t>
              <w:br/>
              <w:t>Migration Contribution Units.</w:t>
              <w:br/>
              <w:t>Additional information of MCUs are hosted in the Mechanism Registry.</w:t>
            </w:r>
          </w:p>
        </w:tc>
      </w:tr>
    </w:tbl>
    <w:p>
      <w:pPr>
        <w:spacing w:before="0" w:after="120"/>
      </w:pPr>
    </w:p>
    <w:sectPr w:rsidR="001A06E5" w:rsidRPr="001A06E5" w:rsidSect="001A06E5">
      <w:footerReference w:type="even" r:id="rId9"/>
      <w:footerReference w:type="default" r:id="rId10"/>
      <w:pgSz w:w="11906" w:h="16838" w:code="9"/>
      <w:pgMar w:top="1134" w:right="1134" w:bottom="1417" w:left="1134" w:header="1134" w:footer="17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F5ABA" w14:textId="77777777" w:rsidR="00BD2A49" w:rsidRPr="008362C4" w:rsidRDefault="00BD2A49" w:rsidP="008362C4">
      <w:pPr>
        <w:spacing w:line="14" w:lineRule="exact"/>
        <w:rPr>
          <w:color w:val="FFFFFF" w:themeColor="background1"/>
        </w:rPr>
      </w:pPr>
      <w:r w:rsidRPr="008362C4">
        <w:rPr>
          <w:color w:val="FFFFFF" w:themeColor="background1"/>
        </w:rPr>
        <w:separator/>
      </w:r>
    </w:p>
    <w:p w14:paraId="21984473" w14:textId="77777777" w:rsidR="00BD2A49" w:rsidRPr="008362C4" w:rsidRDefault="00BD2A49" w:rsidP="00C45173">
      <w:pPr>
        <w:spacing w:line="14" w:lineRule="atLeast"/>
        <w:rPr>
          <w:color w:val="FFFFFF" w:themeColor="background1"/>
          <w:sz w:val="2"/>
          <w:szCs w:val="2"/>
        </w:rPr>
      </w:pPr>
    </w:p>
  </w:endnote>
  <w:endnote w:type="continuationSeparator" w:id="0">
    <w:p w14:paraId="6F1D502B" w14:textId="77777777" w:rsidR="00BD2A49" w:rsidRDefault="00BD2A49">
      <w:r>
        <w:continuationSeparator/>
      </w:r>
    </w:p>
    <w:p w14:paraId="52997336" w14:textId="77777777" w:rsidR="00BD2A49" w:rsidRDefault="00BD2A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FFBE2" w14:textId="77777777" w:rsidR="0031149B" w:rsidRPr="0031149B" w:rsidRDefault="0031149B" w:rsidP="0031149B">
    <w:pPr>
      <w:pStyle w:val="Footer"/>
      <w:tabs>
        <w:tab w:val="right" w:pos="9638"/>
      </w:tabs>
    </w:pPr>
    <w:r w:rsidRPr="0031149B">
      <w:rPr>
        <w:b/>
        <w:sz w:val="18"/>
      </w:rPr>
      <w:fldChar w:fldCharType="begin"/>
    </w:r>
    <w:r w:rsidRPr="0031149B">
      <w:rPr>
        <w:b/>
        <w:sz w:val="18"/>
      </w:rPr>
      <w:instrText xml:space="preserve"> PAGE  \* MERGEFORMAT </w:instrText>
    </w:r>
    <w:r w:rsidRPr="0031149B">
      <w:rPr>
        <w:b/>
        <w:sz w:val="18"/>
      </w:rPr>
      <w:fldChar w:fldCharType="separate"/>
    </w:r>
    <w:r w:rsidRPr="0031149B">
      <w:rPr>
        <w:b/>
        <w:noProof/>
        <w:sz w:val="18"/>
      </w:rPr>
      <w:t>2</w:t>
    </w:r>
    <w:r w:rsidRPr="0031149B">
      <w:rPr>
        <w:b/>
        <w:sz w:val="18"/>
      </w:rPr>
      <w:fldChar w:fldCharType="end"/>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028925"/>
      <w:docPartObj>
        <w:docPartGallery w:val="Page Numbers (Bottom of Page)"/>
        <w:docPartUnique/>
      </w:docPartObj>
    </w:sdtPr>
    <w:sdtEndPr>
      <w:rPr>
        <w:b/>
        <w:bCs/>
        <w:noProof/>
        <w:sz w:val="18"/>
        <w:szCs w:val="18"/>
      </w:rPr>
    </w:sdtEndPr>
    <w:sdtContent>
      <w:p w14:paraId="3891BAA4" w14:textId="0FB9D041" w:rsidR="004160BF" w:rsidRPr="001A06E5" w:rsidRDefault="004160BF">
        <w:pPr>
          <w:pStyle w:val="Footer"/>
          <w:jc w:val="right"/>
          <w:rPr>
            <w:b/>
            <w:bCs/>
            <w:sz w:val="18"/>
            <w:szCs w:val="18"/>
          </w:rPr>
        </w:pPr>
        <w:r w:rsidRPr="001A06E5">
          <w:rPr>
            <w:b/>
            <w:bCs/>
            <w:sz w:val="18"/>
            <w:szCs w:val="18"/>
          </w:rPr>
          <w:fldChar w:fldCharType="begin"/>
        </w:r>
        <w:r w:rsidRPr="001A06E5">
          <w:rPr>
            <w:b/>
            <w:bCs/>
            <w:sz w:val="18"/>
            <w:szCs w:val="18"/>
          </w:rPr>
          <w:instrText xml:space="preserve"> PAGE   \* MERGEFORMAT </w:instrText>
        </w:r>
        <w:r w:rsidRPr="001A06E5">
          <w:rPr>
            <w:b/>
            <w:bCs/>
            <w:sz w:val="18"/>
            <w:szCs w:val="18"/>
          </w:rPr>
          <w:fldChar w:fldCharType="separate"/>
        </w:r>
        <w:r w:rsidRPr="001A06E5">
          <w:rPr>
            <w:b/>
            <w:bCs/>
            <w:noProof/>
            <w:sz w:val="18"/>
            <w:szCs w:val="18"/>
          </w:rPr>
          <w:t>2</w:t>
        </w:r>
        <w:r w:rsidRPr="001A06E5">
          <w:rPr>
            <w:b/>
            <w:bCs/>
            <w:noProof/>
            <w:sz w:val="18"/>
            <w:szCs w:val="18"/>
          </w:rPr>
          <w:fldChar w:fldCharType="end"/>
        </w:r>
      </w:p>
    </w:sdtContent>
  </w:sdt>
  <w:p w14:paraId="6B76CBF0" w14:textId="77777777" w:rsidR="004160BF" w:rsidRDefault="00416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603C5" w14:textId="77777777" w:rsidR="00BD2A49" w:rsidRDefault="00BD2A49">
      <w:r>
        <w:separator/>
      </w:r>
    </w:p>
  </w:footnote>
  <w:footnote w:type="continuationSeparator" w:id="0">
    <w:p w14:paraId="02522239" w14:textId="77777777" w:rsidR="00BD2A49" w:rsidRDefault="00BD2A49">
      <w:r>
        <w:continuationSeparator/>
      </w:r>
    </w:p>
    <w:p w14:paraId="23F7A3E0" w14:textId="77777777" w:rsidR="00BD2A49" w:rsidRDefault="00BD2A49"/>
  </w:footnote>
  <w:footnote w:id="1">
    <w:p w14:paraId="439C99E8" w14:textId="77777777" w:rsidR="00530008" w:rsidRDefault="00530008" w:rsidP="00530008">
      <w:pPr>
        <w:pStyle w:val="FootnoteText"/>
        <w:widowControl w:val="0"/>
        <w:rPr>
          <w:lang w:val="es-ES"/>
        </w:rPr>
      </w:pPr>
      <w:r>
        <w:tab/>
      </w:r>
      <w:r>
        <w:rPr>
          <w:rStyle w:val="FootnoteReference"/>
        </w:rPr>
        <w:footnoteRef/>
      </w:r>
      <w:r>
        <w:rPr>
          <w:lang w:val="es-ES"/>
        </w:rPr>
        <w:tab/>
        <w:t>FCCC/SBSTA/2024/7, para. 131.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E4C8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536B0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AEC7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2BA03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DD083B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EE56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2AE9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D525A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06742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5A11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2036B"/>
    <w:multiLevelType w:val="hybridMultilevel"/>
    <w:tmpl w:val="B21093D2"/>
    <w:lvl w:ilvl="0" w:tplc="9008FA9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4454B7"/>
    <w:multiLevelType w:val="multilevel"/>
    <w:tmpl w:val="D570AB8A"/>
    <w:styleLink w:val="FigureFootnote"/>
    <w:lvl w:ilvl="0">
      <w:start w:val="1"/>
      <w:numFmt w:val="lowerLetter"/>
      <w:lvlRestart w:val="0"/>
      <w:suff w:val="space"/>
      <w:lvlText w:val="%1  "/>
      <w:lvlJc w:val="left"/>
      <w:pPr>
        <w:ind w:left="1134" w:firstLine="170"/>
      </w:pPr>
      <w:rPr>
        <w:i/>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1E275F"/>
    <w:multiLevelType w:val="hybridMultilevel"/>
    <w:tmpl w:val="3D36B276"/>
    <w:name w:val="FCCCTextbox footnote"/>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3354E"/>
    <w:multiLevelType w:val="multilevel"/>
    <w:tmpl w:val="7382C6AE"/>
    <w:lvl w:ilvl="0">
      <w:start w:val="1"/>
      <w:numFmt w:val="upperRoman"/>
      <w:lvlRestart w:val="0"/>
      <w:pStyle w:val="RegHChG"/>
      <w:lvlText w:val="%1."/>
      <w:lvlJc w:val="right"/>
      <w:pPr>
        <w:tabs>
          <w:tab w:val="num" w:pos="1135"/>
        </w:tabs>
        <w:ind w:left="1135" w:hanging="284"/>
      </w:pPr>
      <w:rPr>
        <w:rFonts w:ascii="Times New Roman" w:hAnsi="Times New Roman" w:cs="Times New Roman" w:hint="default"/>
        <w:b/>
        <w:i w:val="0"/>
        <w:sz w:val="28"/>
      </w:rPr>
    </w:lvl>
    <w:lvl w:ilvl="1">
      <w:start w:val="1"/>
      <w:numFmt w:val="upperLetter"/>
      <w:pStyle w:val="RegH1G"/>
      <w:lvlText w:val="%2."/>
      <w:lvlJc w:val="right"/>
      <w:pPr>
        <w:tabs>
          <w:tab w:val="num" w:pos="1135"/>
        </w:tabs>
        <w:ind w:left="1135" w:hanging="284"/>
      </w:pPr>
      <w:rPr>
        <w:rFonts w:ascii="Times New Roman" w:hAnsi="Times New Roman" w:cs="Times New Roman" w:hint="default"/>
        <w:b/>
        <w:i w:val="0"/>
        <w:sz w:val="24"/>
      </w:rPr>
    </w:lvl>
    <w:lvl w:ilvl="2">
      <w:start w:val="1"/>
      <w:numFmt w:val="decimal"/>
      <w:pStyle w:val="RegH23G"/>
      <w:lvlText w:val="%3."/>
      <w:lvlJc w:val="right"/>
      <w:pPr>
        <w:tabs>
          <w:tab w:val="num" w:pos="1135"/>
        </w:tabs>
        <w:ind w:left="1135" w:hanging="284"/>
      </w:pPr>
      <w:rPr>
        <w:rFonts w:ascii="Times New Roman" w:hAnsi="Times New Roman" w:cs="Times New Roman" w:hint="default"/>
        <w:b/>
        <w:bCs/>
        <w:i w:val="0"/>
        <w:iCs w:val="0"/>
        <w:sz w:val="20"/>
        <w:szCs w:val="20"/>
      </w:rPr>
    </w:lvl>
    <w:lvl w:ilvl="3">
      <w:start w:val="1"/>
      <w:numFmt w:val="lowerLetter"/>
      <w:pStyle w:val="RegH4G"/>
      <w:lvlText w:val="(%4)"/>
      <w:lvlJc w:val="right"/>
      <w:pPr>
        <w:tabs>
          <w:tab w:val="num" w:pos="1134"/>
        </w:tabs>
        <w:ind w:left="1135" w:hanging="284"/>
      </w:pPr>
      <w:rPr>
        <w:rFonts w:ascii="Times New Roman" w:hAnsi="Times New Roman" w:cs="Times New Roman" w:hint="default"/>
        <w:b/>
        <w:i w:val="0"/>
        <w:sz w:val="20"/>
      </w:rPr>
    </w:lvl>
    <w:lvl w:ilvl="4">
      <w:start w:val="1"/>
      <w:numFmt w:val="lowerRoman"/>
      <w:pStyle w:val="RegH5G"/>
      <w:lvlText w:val="(%5)"/>
      <w:lvlJc w:val="right"/>
      <w:pPr>
        <w:tabs>
          <w:tab w:val="num" w:pos="1134"/>
        </w:tabs>
        <w:ind w:left="1135" w:hanging="284"/>
      </w:pPr>
      <w:rPr>
        <w:rFonts w:ascii="Times New Roman" w:hAnsi="Times New Roman" w:hint="default"/>
        <w:b w:val="0"/>
        <w:i/>
      </w:rPr>
    </w:lvl>
    <w:lvl w:ilvl="5">
      <w:start w:val="1"/>
      <w:numFmt w:val="decimal"/>
      <w:lvlRestart w:val="0"/>
      <w:pStyle w:val="RegSingleTxtG"/>
      <w:lvlText w:val="%6."/>
      <w:lvlJc w:val="left"/>
      <w:pPr>
        <w:ind w:left="1134" w:firstLine="0"/>
      </w:pPr>
      <w:rPr>
        <w:rFonts w:hint="default"/>
        <w:sz w:val="20"/>
      </w:rPr>
    </w:lvl>
    <w:lvl w:ilvl="6">
      <w:start w:val="1"/>
      <w:numFmt w:val="lowerLetter"/>
      <w:pStyle w:val="RegSingleTxtG2"/>
      <w:lvlText w:val="(%7)"/>
      <w:lvlJc w:val="left"/>
      <w:pPr>
        <w:tabs>
          <w:tab w:val="num" w:pos="1702"/>
        </w:tabs>
        <w:ind w:left="1134" w:firstLine="567"/>
      </w:pPr>
      <w:rPr>
        <w:rFonts w:hint="default"/>
        <w:b w:val="0"/>
        <w:i w:val="0"/>
        <w:color w:val="auto"/>
        <w:sz w:val="20"/>
        <w:szCs w:val="28"/>
      </w:rPr>
    </w:lvl>
    <w:lvl w:ilvl="7">
      <w:start w:val="1"/>
      <w:numFmt w:val="lowerRoman"/>
      <w:pStyle w:val="RegSingleTxtG3"/>
      <w:lvlText w:val="(%8)"/>
      <w:lvlJc w:val="left"/>
      <w:pPr>
        <w:ind w:left="1701" w:firstLine="0"/>
      </w:pPr>
      <w:rPr>
        <w:rFonts w:hint="default"/>
        <w:sz w:val="20"/>
      </w:rPr>
    </w:lvl>
    <w:lvl w:ilvl="8">
      <w:start w:val="1"/>
      <w:numFmt w:val="lowerLetter"/>
      <w:lvlText w:val="%9."/>
      <w:lvlJc w:val="left"/>
      <w:pPr>
        <w:tabs>
          <w:tab w:val="num" w:pos="2268"/>
        </w:tabs>
        <w:ind w:left="2268" w:firstLine="0"/>
      </w:pPr>
      <w:rPr>
        <w:rFonts w:hint="default"/>
      </w:rPr>
    </w:lvl>
  </w:abstractNum>
  <w:abstractNum w:abstractNumId="14" w15:restartNumberingAfterBreak="0">
    <w:nsid w:val="1F217904"/>
    <w:multiLevelType w:val="multilevel"/>
    <w:tmpl w:val="4C2A71EA"/>
    <w:name w:val="TextBox Footnote"/>
    <w:lvl w:ilvl="0">
      <w:start w:val="1"/>
      <w:numFmt w:val="lowerLetter"/>
      <w:lvlRestart w:val="0"/>
      <w:suff w:val="space"/>
      <w:lvlText w:val="%1  "/>
      <w:lvlJc w:val="left"/>
      <w:pPr>
        <w:ind w:left="1134" w:firstLine="170"/>
      </w:pPr>
      <w:rPr>
        <w:rFonts w:hint="default"/>
        <w:i/>
        <w:sz w:val="18"/>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03B2E8D"/>
    <w:multiLevelType w:val="multilevel"/>
    <w:tmpl w:val="D570AB8A"/>
    <w:styleLink w:val="FCCCBoxfootnote"/>
    <w:lvl w:ilvl="0">
      <w:start w:val="1"/>
      <w:numFmt w:val="lowerLetter"/>
      <w:lvlRestart w:val="0"/>
      <w:suff w:val="space"/>
      <w:lvlText w:val="%1  "/>
      <w:lvlJc w:val="left"/>
      <w:pPr>
        <w:ind w:left="1134" w:firstLine="170"/>
      </w:pPr>
      <w:rPr>
        <w:i/>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2C51BCD"/>
    <w:multiLevelType w:val="hybridMultilevel"/>
    <w:tmpl w:val="7A801CA4"/>
    <w:name w:val="FCCCTextbox footnote232"/>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C64F00"/>
    <w:multiLevelType w:val="multilevel"/>
    <w:tmpl w:val="EF36802C"/>
    <w:lvl w:ilvl="0">
      <w:start w:val="1"/>
      <w:numFmt w:val="upperRoman"/>
      <w:lvlRestart w:val="0"/>
      <w:pStyle w:val="AnnoHCHG"/>
      <w:lvlText w:val="%1."/>
      <w:lvlJc w:val="right"/>
      <w:pPr>
        <w:tabs>
          <w:tab w:val="num" w:pos="1135"/>
        </w:tabs>
        <w:ind w:left="1135" w:hanging="284"/>
      </w:pPr>
      <w:rPr>
        <w:rFonts w:ascii="Times New Roman" w:hAnsi="Times New Roman" w:cs="Times New Roman" w:hint="default"/>
        <w:b/>
        <w:i w:val="0"/>
        <w:sz w:val="28"/>
      </w:rPr>
    </w:lvl>
    <w:lvl w:ilvl="1">
      <w:start w:val="1"/>
      <w:numFmt w:val="decimal"/>
      <w:pStyle w:val="AnnoH1G"/>
      <w:lvlText w:val="%2."/>
      <w:lvlJc w:val="right"/>
      <w:pPr>
        <w:tabs>
          <w:tab w:val="num" w:pos="1135"/>
        </w:tabs>
        <w:ind w:left="1135" w:hanging="284"/>
      </w:pPr>
      <w:rPr>
        <w:rFonts w:ascii="Times New Roman" w:hAnsi="Times New Roman" w:cs="Times New Roman" w:hint="default"/>
        <w:b/>
        <w:i w:val="0"/>
        <w:sz w:val="24"/>
      </w:rPr>
    </w:lvl>
    <w:lvl w:ilvl="2">
      <w:start w:val="1"/>
      <w:numFmt w:val="lowerLetter"/>
      <w:pStyle w:val="AnnoH23G"/>
      <w:lvlText w:val="(%3)"/>
      <w:lvlJc w:val="right"/>
      <w:pPr>
        <w:tabs>
          <w:tab w:val="num" w:pos="1135"/>
        </w:tabs>
        <w:ind w:left="1135" w:hanging="284"/>
      </w:pPr>
      <w:rPr>
        <w:rFonts w:ascii="Times New Roman" w:hAnsi="Times New Roman" w:cs="Times New Roman" w:hint="default"/>
        <w:b w:val="0"/>
        <w:i w:val="0"/>
        <w:sz w:val="20"/>
      </w:rPr>
    </w:lvl>
    <w:lvl w:ilvl="3">
      <w:start w:val="1"/>
      <w:numFmt w:val="decimal"/>
      <w:lvlRestart w:val="0"/>
      <w:pStyle w:val="AnnoSingleTxtG"/>
      <w:lvlText w:val="%4."/>
      <w:lvlJc w:val="left"/>
      <w:pPr>
        <w:tabs>
          <w:tab w:val="num" w:pos="1702"/>
        </w:tabs>
        <w:ind w:left="1702" w:hanging="567"/>
      </w:pPr>
      <w:rPr>
        <w:rFonts w:hint="default"/>
      </w:rPr>
    </w:lvl>
    <w:lvl w:ilvl="4">
      <w:start w:val="1"/>
      <w:numFmt w:val="lowerLetter"/>
      <w:lvlText w:val="(%5)"/>
      <w:lvlJc w:val="left"/>
      <w:pPr>
        <w:tabs>
          <w:tab w:val="num" w:pos="2269"/>
        </w:tabs>
        <w:ind w:left="1702" w:firstLine="0"/>
      </w:pPr>
      <w:rPr>
        <w:rFonts w:hint="default"/>
      </w:rPr>
    </w:lvl>
    <w:lvl w:ilvl="5">
      <w:start w:val="1"/>
      <w:numFmt w:val="decimal"/>
      <w:lvlText w:val="%6."/>
      <w:lvlJc w:val="left"/>
      <w:pPr>
        <w:tabs>
          <w:tab w:val="num" w:pos="2161"/>
        </w:tabs>
        <w:ind w:left="2836" w:hanging="567"/>
      </w:pPr>
      <w:rPr>
        <w:rFonts w:hint="default"/>
      </w:rPr>
    </w:lvl>
    <w:lvl w:ilvl="6">
      <w:start w:val="1"/>
      <w:numFmt w:val="lowerLetter"/>
      <w:lvlText w:val="(%7)"/>
      <w:lvlJc w:val="left"/>
      <w:pPr>
        <w:tabs>
          <w:tab w:val="num" w:pos="3403"/>
        </w:tabs>
        <w:ind w:left="3403" w:hanging="567"/>
      </w:pPr>
      <w:rPr>
        <w:rFonts w:hint="default"/>
      </w:rPr>
    </w:lvl>
    <w:lvl w:ilvl="7">
      <w:start w:val="1"/>
      <w:numFmt w:val="none"/>
      <w:lvlText w:val="[%4."/>
      <w:lvlJc w:val="left"/>
      <w:pPr>
        <w:tabs>
          <w:tab w:val="num" w:pos="1702"/>
        </w:tabs>
        <w:ind w:left="1702" w:hanging="567"/>
      </w:pPr>
      <w:rPr>
        <w:rFonts w:hint="default"/>
        <w:color w:val="auto"/>
        <w:szCs w:val="28"/>
      </w:rPr>
    </w:lvl>
    <w:lvl w:ilvl="8">
      <w:start w:val="1"/>
      <w:numFmt w:val="lowerRoman"/>
      <w:lvlText w:val="%9."/>
      <w:lvlJc w:val="left"/>
      <w:pPr>
        <w:tabs>
          <w:tab w:val="num" w:pos="3238"/>
        </w:tabs>
        <w:ind w:left="3238" w:hanging="357"/>
      </w:pPr>
      <w:rPr>
        <w:rFonts w:hint="default"/>
      </w:rPr>
    </w:lvl>
  </w:abstractNum>
  <w:abstractNum w:abstractNumId="18" w15:restartNumberingAfterBreak="0">
    <w:nsid w:val="2E215943"/>
    <w:multiLevelType w:val="multilevel"/>
    <w:tmpl w:val="72D26EF8"/>
    <w:styleLink w:val="FCCCTextboxfootnote"/>
    <w:lvl w:ilvl="0">
      <w:start w:val="1"/>
      <w:numFmt w:val="lowerLetter"/>
      <w:lvlRestart w:val="0"/>
      <w:lvlText w:val="%1  "/>
      <w:lvlJc w:val="left"/>
      <w:pPr>
        <w:ind w:left="720" w:hanging="363"/>
      </w:pPr>
      <w:rPr>
        <w:rFonts w:hint="default"/>
        <w:i/>
        <w:sz w:val="18"/>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F1F7003"/>
    <w:multiLevelType w:val="hybridMultilevel"/>
    <w:tmpl w:val="F8F22560"/>
    <w:name w:val="FCCCTextbox footnote2"/>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9C738E"/>
    <w:multiLevelType w:val="hybridMultilevel"/>
    <w:tmpl w:val="CF9042B4"/>
    <w:name w:val="FCCCTextbox footnote22"/>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47667B"/>
    <w:multiLevelType w:val="hybridMultilevel"/>
    <w:tmpl w:val="9B720724"/>
    <w:name w:val="FCCCTextbox footnote23"/>
    <w:lvl w:ilvl="0" w:tplc="4CEEA2B8">
      <w:start w:val="1"/>
      <w:numFmt w:val="lowerLetter"/>
      <w:lvlRestart w:val="0"/>
      <w:lvlText w:val="%1  "/>
      <w:lvlJc w:val="left"/>
      <w:pPr>
        <w:ind w:left="720" w:hanging="363"/>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CA7829"/>
    <w:multiLevelType w:val="hybridMultilevel"/>
    <w:tmpl w:val="3C9A5AF4"/>
    <w:name w:val="TextBox Footnote2"/>
    <w:lvl w:ilvl="0" w:tplc="C79E93DA">
      <w:start w:val="1"/>
      <w:numFmt w:val="lowerLetter"/>
      <w:lvlText w:val="%1  "/>
      <w:lvlJc w:val="left"/>
      <w:pPr>
        <w:ind w:left="720" w:hanging="360"/>
      </w:pPr>
      <w:rPr>
        <w:rFonts w:hint="default"/>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62366"/>
    <w:multiLevelType w:val="hybridMultilevel"/>
    <w:tmpl w:val="A84009F8"/>
    <w:lvl w:ilvl="0" w:tplc="E24C15DA">
      <w:start w:val="1"/>
      <w:numFmt w:val="bullet"/>
      <w:pStyle w:val="Bullet2G"/>
      <w:lvlText w:val="•"/>
      <w:lvlJc w:val="left"/>
      <w:pPr>
        <w:tabs>
          <w:tab w:val="num" w:pos="2268"/>
        </w:tabs>
        <w:ind w:left="2268" w:hanging="170"/>
      </w:pPr>
      <w:rPr>
        <w:rFonts w:ascii="Times New Roman" w:hAnsi="Times New Roman" w:cs="Times New Roman" w:hint="default"/>
        <w:b w:val="0"/>
        <w:i w:val="0"/>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D44222"/>
    <w:multiLevelType w:val="hybridMultilevel"/>
    <w:tmpl w:val="B9DEFBA8"/>
    <w:lvl w:ilvl="0" w:tplc="0CD46418">
      <w:start w:val="1"/>
      <w:numFmt w:val="lowerLetter"/>
      <w:lvlRestart w:val="0"/>
      <w:suff w:val="space"/>
      <w:lvlText w:val="%1  "/>
      <w:lvlJc w:val="left"/>
      <w:pPr>
        <w:ind w:left="1134" w:firstLine="170"/>
      </w:pPr>
      <w:rPr>
        <w:i/>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289885">
    <w:abstractNumId w:val="13"/>
  </w:num>
  <w:num w:numId="2" w16cid:durableId="177428672">
    <w:abstractNumId w:val="10"/>
  </w:num>
  <w:num w:numId="3" w16cid:durableId="744455451">
    <w:abstractNumId w:val="23"/>
  </w:num>
  <w:num w:numId="4" w16cid:durableId="380713491">
    <w:abstractNumId w:val="17"/>
  </w:num>
  <w:num w:numId="5" w16cid:durableId="8259867">
    <w:abstractNumId w:val="15"/>
  </w:num>
  <w:num w:numId="6" w16cid:durableId="1678733448">
    <w:abstractNumId w:val="18"/>
  </w:num>
  <w:num w:numId="7" w16cid:durableId="78605626">
    <w:abstractNumId w:val="11"/>
  </w:num>
  <w:num w:numId="8" w16cid:durableId="2091079493">
    <w:abstractNumId w:val="10"/>
  </w:num>
  <w:num w:numId="9" w16cid:durableId="1511025763">
    <w:abstractNumId w:val="23"/>
  </w:num>
  <w:num w:numId="10" w16cid:durableId="39087971">
    <w:abstractNumId w:val="17"/>
  </w:num>
  <w:num w:numId="11" w16cid:durableId="964506036">
    <w:abstractNumId w:val="17"/>
  </w:num>
  <w:num w:numId="12" w16cid:durableId="923146848">
    <w:abstractNumId w:val="17"/>
  </w:num>
  <w:num w:numId="13" w16cid:durableId="1293829587">
    <w:abstractNumId w:val="17"/>
  </w:num>
  <w:num w:numId="14" w16cid:durableId="424769695">
    <w:abstractNumId w:val="13"/>
  </w:num>
  <w:num w:numId="15" w16cid:durableId="860094893">
    <w:abstractNumId w:val="13"/>
  </w:num>
  <w:num w:numId="16" w16cid:durableId="1220167644">
    <w:abstractNumId w:val="13"/>
  </w:num>
  <w:num w:numId="17" w16cid:durableId="2147357040">
    <w:abstractNumId w:val="13"/>
  </w:num>
  <w:num w:numId="18" w16cid:durableId="257447451">
    <w:abstractNumId w:val="13"/>
  </w:num>
  <w:num w:numId="19" w16cid:durableId="1463184619">
    <w:abstractNumId w:val="13"/>
  </w:num>
  <w:num w:numId="20" w16cid:durableId="1381858410">
    <w:abstractNumId w:val="13"/>
  </w:num>
  <w:num w:numId="21" w16cid:durableId="1305235678">
    <w:abstractNumId w:val="13"/>
  </w:num>
  <w:num w:numId="22" w16cid:durableId="189035159">
    <w:abstractNumId w:val="12"/>
  </w:num>
  <w:num w:numId="23" w16cid:durableId="1725904893">
    <w:abstractNumId w:val="24"/>
  </w:num>
  <w:num w:numId="24" w16cid:durableId="1167133530">
    <w:abstractNumId w:val="9"/>
  </w:num>
  <w:num w:numId="25" w16cid:durableId="1644773663">
    <w:abstractNumId w:val="7"/>
  </w:num>
  <w:num w:numId="26" w16cid:durableId="1333141577">
    <w:abstractNumId w:val="6"/>
  </w:num>
  <w:num w:numId="27" w16cid:durableId="1154371494">
    <w:abstractNumId w:val="5"/>
  </w:num>
  <w:num w:numId="28" w16cid:durableId="2112430649">
    <w:abstractNumId w:val="4"/>
  </w:num>
  <w:num w:numId="29" w16cid:durableId="1638219827">
    <w:abstractNumId w:val="8"/>
  </w:num>
  <w:num w:numId="30" w16cid:durableId="342173125">
    <w:abstractNumId w:val="3"/>
  </w:num>
  <w:num w:numId="31" w16cid:durableId="1598177463">
    <w:abstractNumId w:val="2"/>
  </w:num>
  <w:num w:numId="32" w16cid:durableId="580143356">
    <w:abstractNumId w:val="1"/>
  </w:num>
  <w:num w:numId="33" w16cid:durableId="1232081950">
    <w:abstractNumId w:val="0"/>
  </w:num>
  <w:num w:numId="34" w16cid:durableId="10573225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B724" w:allStyles="0" w:customStyles="0" w:latentStyles="1" w:stylesInUse="0" w:headingStyles="1" w:numberingStyles="0" w:tableStyles="0" w:directFormattingOnRuns="1" w:directFormattingOnParagraphs="1" w:directFormattingOnNumbering="1" w:directFormattingOnTables="0" w:clearFormatting="1" w:top3HeadingStyles="1" w:visibleStyles="0" w:alternateStyleNames="1"/>
  <w:defaultTabStop w:val="567"/>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46"/>
    <w:rsid w:val="00002558"/>
    <w:rsid w:val="00004A30"/>
    <w:rsid w:val="00007089"/>
    <w:rsid w:val="00021BB6"/>
    <w:rsid w:val="0002382B"/>
    <w:rsid w:val="00027F7F"/>
    <w:rsid w:val="00032DDE"/>
    <w:rsid w:val="00037650"/>
    <w:rsid w:val="0003776D"/>
    <w:rsid w:val="000423A6"/>
    <w:rsid w:val="00052463"/>
    <w:rsid w:val="00054CCE"/>
    <w:rsid w:val="000555B3"/>
    <w:rsid w:val="000561BD"/>
    <w:rsid w:val="000610B7"/>
    <w:rsid w:val="00062505"/>
    <w:rsid w:val="00074855"/>
    <w:rsid w:val="00074EC5"/>
    <w:rsid w:val="00074FC8"/>
    <w:rsid w:val="00076113"/>
    <w:rsid w:val="000773C8"/>
    <w:rsid w:val="00081C44"/>
    <w:rsid w:val="00083647"/>
    <w:rsid w:val="00086AA6"/>
    <w:rsid w:val="0008756E"/>
    <w:rsid w:val="00087BE9"/>
    <w:rsid w:val="00090016"/>
    <w:rsid w:val="00090A78"/>
    <w:rsid w:val="000913E6"/>
    <w:rsid w:val="00092E29"/>
    <w:rsid w:val="00093044"/>
    <w:rsid w:val="000A399F"/>
    <w:rsid w:val="000A4C99"/>
    <w:rsid w:val="000A566F"/>
    <w:rsid w:val="000A63B3"/>
    <w:rsid w:val="000A7C2B"/>
    <w:rsid w:val="000B1FD0"/>
    <w:rsid w:val="000C0E05"/>
    <w:rsid w:val="000C24E3"/>
    <w:rsid w:val="000C5173"/>
    <w:rsid w:val="000C7FAF"/>
    <w:rsid w:val="000D5DED"/>
    <w:rsid w:val="000D6922"/>
    <w:rsid w:val="000D6D4A"/>
    <w:rsid w:val="000E343D"/>
    <w:rsid w:val="000E3BD5"/>
    <w:rsid w:val="000E5A58"/>
    <w:rsid w:val="000E6E68"/>
    <w:rsid w:val="000F13AC"/>
    <w:rsid w:val="000F379C"/>
    <w:rsid w:val="000F4528"/>
    <w:rsid w:val="000F5020"/>
    <w:rsid w:val="001007C9"/>
    <w:rsid w:val="00103310"/>
    <w:rsid w:val="00106384"/>
    <w:rsid w:val="00107536"/>
    <w:rsid w:val="00107B0E"/>
    <w:rsid w:val="0011157B"/>
    <w:rsid w:val="001161E5"/>
    <w:rsid w:val="0011781E"/>
    <w:rsid w:val="00120826"/>
    <w:rsid w:val="00120901"/>
    <w:rsid w:val="001209A8"/>
    <w:rsid w:val="00120E84"/>
    <w:rsid w:val="00123C52"/>
    <w:rsid w:val="00124496"/>
    <w:rsid w:val="00127311"/>
    <w:rsid w:val="001328F9"/>
    <w:rsid w:val="001349EC"/>
    <w:rsid w:val="00134F15"/>
    <w:rsid w:val="00136D61"/>
    <w:rsid w:val="001404D7"/>
    <w:rsid w:val="00141710"/>
    <w:rsid w:val="00142A35"/>
    <w:rsid w:val="00152A6E"/>
    <w:rsid w:val="001600D9"/>
    <w:rsid w:val="00172CF0"/>
    <w:rsid w:val="001738F1"/>
    <w:rsid w:val="00174A05"/>
    <w:rsid w:val="00176D28"/>
    <w:rsid w:val="00177074"/>
    <w:rsid w:val="00180DE6"/>
    <w:rsid w:val="001824A4"/>
    <w:rsid w:val="00184C03"/>
    <w:rsid w:val="00186A4F"/>
    <w:rsid w:val="001906D0"/>
    <w:rsid w:val="001915EF"/>
    <w:rsid w:val="0019430F"/>
    <w:rsid w:val="001945C7"/>
    <w:rsid w:val="00194BFA"/>
    <w:rsid w:val="00194E11"/>
    <w:rsid w:val="00195018"/>
    <w:rsid w:val="00195FF4"/>
    <w:rsid w:val="00196E77"/>
    <w:rsid w:val="001A06E5"/>
    <w:rsid w:val="001A0A3A"/>
    <w:rsid w:val="001A1FC1"/>
    <w:rsid w:val="001A3E9A"/>
    <w:rsid w:val="001A594B"/>
    <w:rsid w:val="001A5FE8"/>
    <w:rsid w:val="001A6305"/>
    <w:rsid w:val="001A70E2"/>
    <w:rsid w:val="001B085A"/>
    <w:rsid w:val="001B1483"/>
    <w:rsid w:val="001C3DE7"/>
    <w:rsid w:val="001C3F2F"/>
    <w:rsid w:val="001C40F0"/>
    <w:rsid w:val="001C4688"/>
    <w:rsid w:val="001C7B87"/>
    <w:rsid w:val="001D012A"/>
    <w:rsid w:val="001D0F0F"/>
    <w:rsid w:val="001D2FD8"/>
    <w:rsid w:val="001E1EFC"/>
    <w:rsid w:val="001E38E4"/>
    <w:rsid w:val="001E7D13"/>
    <w:rsid w:val="001E7EA1"/>
    <w:rsid w:val="001F0C87"/>
    <w:rsid w:val="001F2BBF"/>
    <w:rsid w:val="002008AA"/>
    <w:rsid w:val="00201B92"/>
    <w:rsid w:val="002025E1"/>
    <w:rsid w:val="00202C1D"/>
    <w:rsid w:val="002051C6"/>
    <w:rsid w:val="00207452"/>
    <w:rsid w:val="0021446A"/>
    <w:rsid w:val="00216589"/>
    <w:rsid w:val="00223453"/>
    <w:rsid w:val="00224111"/>
    <w:rsid w:val="00230D0F"/>
    <w:rsid w:val="00231FB5"/>
    <w:rsid w:val="00232479"/>
    <w:rsid w:val="00232EAA"/>
    <w:rsid w:val="0024447B"/>
    <w:rsid w:val="00246888"/>
    <w:rsid w:val="00247BF6"/>
    <w:rsid w:val="00250037"/>
    <w:rsid w:val="00251FF9"/>
    <w:rsid w:val="00253D17"/>
    <w:rsid w:val="00256CFB"/>
    <w:rsid w:val="00257AA3"/>
    <w:rsid w:val="00260BFA"/>
    <w:rsid w:val="00264F17"/>
    <w:rsid w:val="00266D68"/>
    <w:rsid w:val="00267B98"/>
    <w:rsid w:val="00273E8E"/>
    <w:rsid w:val="0027419E"/>
    <w:rsid w:val="00276A17"/>
    <w:rsid w:val="002776B4"/>
    <w:rsid w:val="002779EB"/>
    <w:rsid w:val="002823A1"/>
    <w:rsid w:val="00283275"/>
    <w:rsid w:val="002859C9"/>
    <w:rsid w:val="0029007C"/>
    <w:rsid w:val="00290409"/>
    <w:rsid w:val="00292DC3"/>
    <w:rsid w:val="002933A4"/>
    <w:rsid w:val="002954CD"/>
    <w:rsid w:val="00295866"/>
    <w:rsid w:val="0029733B"/>
    <w:rsid w:val="00297C1E"/>
    <w:rsid w:val="002A7B52"/>
    <w:rsid w:val="002B00DA"/>
    <w:rsid w:val="002B0283"/>
    <w:rsid w:val="002B3984"/>
    <w:rsid w:val="002B446B"/>
    <w:rsid w:val="002B685D"/>
    <w:rsid w:val="002B71EA"/>
    <w:rsid w:val="002B72CE"/>
    <w:rsid w:val="002B7532"/>
    <w:rsid w:val="002C051E"/>
    <w:rsid w:val="002C11F7"/>
    <w:rsid w:val="002C3336"/>
    <w:rsid w:val="002C52A6"/>
    <w:rsid w:val="002C5632"/>
    <w:rsid w:val="002D154A"/>
    <w:rsid w:val="002D1F6E"/>
    <w:rsid w:val="002D38D8"/>
    <w:rsid w:val="002D61FD"/>
    <w:rsid w:val="002D66A2"/>
    <w:rsid w:val="002D737B"/>
    <w:rsid w:val="002E3ED8"/>
    <w:rsid w:val="002F1DAC"/>
    <w:rsid w:val="002F304A"/>
    <w:rsid w:val="002F60E8"/>
    <w:rsid w:val="002F7B01"/>
    <w:rsid w:val="003012AF"/>
    <w:rsid w:val="00304BA1"/>
    <w:rsid w:val="00306423"/>
    <w:rsid w:val="0031149B"/>
    <w:rsid w:val="003132EC"/>
    <w:rsid w:val="003147E4"/>
    <w:rsid w:val="00317B8C"/>
    <w:rsid w:val="00321A14"/>
    <w:rsid w:val="003234D7"/>
    <w:rsid w:val="003250E7"/>
    <w:rsid w:val="00327575"/>
    <w:rsid w:val="00327B89"/>
    <w:rsid w:val="00332592"/>
    <w:rsid w:val="003354A0"/>
    <w:rsid w:val="00336DC3"/>
    <w:rsid w:val="0034005C"/>
    <w:rsid w:val="00340554"/>
    <w:rsid w:val="00341289"/>
    <w:rsid w:val="003415A2"/>
    <w:rsid w:val="00344AD3"/>
    <w:rsid w:val="00350710"/>
    <w:rsid w:val="00355B23"/>
    <w:rsid w:val="00357684"/>
    <w:rsid w:val="00361821"/>
    <w:rsid w:val="00361A9D"/>
    <w:rsid w:val="003643C9"/>
    <w:rsid w:val="00364B85"/>
    <w:rsid w:val="00367230"/>
    <w:rsid w:val="00375F53"/>
    <w:rsid w:val="003762C2"/>
    <w:rsid w:val="00381632"/>
    <w:rsid w:val="00383494"/>
    <w:rsid w:val="003847B9"/>
    <w:rsid w:val="00385E56"/>
    <w:rsid w:val="003A04B4"/>
    <w:rsid w:val="003A2D5F"/>
    <w:rsid w:val="003A4936"/>
    <w:rsid w:val="003B1229"/>
    <w:rsid w:val="003B2C11"/>
    <w:rsid w:val="003B3C25"/>
    <w:rsid w:val="003B4C6A"/>
    <w:rsid w:val="003B4D23"/>
    <w:rsid w:val="003B714F"/>
    <w:rsid w:val="003C3854"/>
    <w:rsid w:val="003C75B9"/>
    <w:rsid w:val="003D1A53"/>
    <w:rsid w:val="003D36AD"/>
    <w:rsid w:val="003D3B00"/>
    <w:rsid w:val="003D5FAA"/>
    <w:rsid w:val="003D6B47"/>
    <w:rsid w:val="003E05CD"/>
    <w:rsid w:val="003E3A52"/>
    <w:rsid w:val="003E7CA8"/>
    <w:rsid w:val="003F0BC6"/>
    <w:rsid w:val="003F1E27"/>
    <w:rsid w:val="003F20C4"/>
    <w:rsid w:val="003F3102"/>
    <w:rsid w:val="003F3389"/>
    <w:rsid w:val="003F5FEE"/>
    <w:rsid w:val="003F7301"/>
    <w:rsid w:val="00400B35"/>
    <w:rsid w:val="00403E2E"/>
    <w:rsid w:val="00405060"/>
    <w:rsid w:val="004061BF"/>
    <w:rsid w:val="00410508"/>
    <w:rsid w:val="00415EFB"/>
    <w:rsid w:val="004160BF"/>
    <w:rsid w:val="00417292"/>
    <w:rsid w:val="00420581"/>
    <w:rsid w:val="004215DD"/>
    <w:rsid w:val="00422A48"/>
    <w:rsid w:val="00422A55"/>
    <w:rsid w:val="00427DA2"/>
    <w:rsid w:val="00434232"/>
    <w:rsid w:val="0043729E"/>
    <w:rsid w:val="00437435"/>
    <w:rsid w:val="00442AFD"/>
    <w:rsid w:val="00445627"/>
    <w:rsid w:val="00455747"/>
    <w:rsid w:val="00456080"/>
    <w:rsid w:val="00456137"/>
    <w:rsid w:val="004578AD"/>
    <w:rsid w:val="00464BB2"/>
    <w:rsid w:val="00464BE9"/>
    <w:rsid w:val="004732FC"/>
    <w:rsid w:val="00477328"/>
    <w:rsid w:val="004812E6"/>
    <w:rsid w:val="0048196D"/>
    <w:rsid w:val="00484B74"/>
    <w:rsid w:val="0048523B"/>
    <w:rsid w:val="00485971"/>
    <w:rsid w:val="00487DED"/>
    <w:rsid w:val="004903C5"/>
    <w:rsid w:val="00490900"/>
    <w:rsid w:val="004924C5"/>
    <w:rsid w:val="004977C3"/>
    <w:rsid w:val="004A36EC"/>
    <w:rsid w:val="004A67DD"/>
    <w:rsid w:val="004B02E4"/>
    <w:rsid w:val="004B2317"/>
    <w:rsid w:val="004B2869"/>
    <w:rsid w:val="004B501A"/>
    <w:rsid w:val="004B6DE3"/>
    <w:rsid w:val="004C022A"/>
    <w:rsid w:val="004C1052"/>
    <w:rsid w:val="004D1BD9"/>
    <w:rsid w:val="004D26DD"/>
    <w:rsid w:val="004D72AF"/>
    <w:rsid w:val="004E2287"/>
    <w:rsid w:val="004E3961"/>
    <w:rsid w:val="004E4B8F"/>
    <w:rsid w:val="004E5A04"/>
    <w:rsid w:val="004E7437"/>
    <w:rsid w:val="004F0D45"/>
    <w:rsid w:val="004F615A"/>
    <w:rsid w:val="005030B1"/>
    <w:rsid w:val="00503373"/>
    <w:rsid w:val="005120CF"/>
    <w:rsid w:val="0051452E"/>
    <w:rsid w:val="0052014F"/>
    <w:rsid w:val="00521929"/>
    <w:rsid w:val="00522492"/>
    <w:rsid w:val="005255F0"/>
    <w:rsid w:val="00527573"/>
    <w:rsid w:val="005279BE"/>
    <w:rsid w:val="00530008"/>
    <w:rsid w:val="005324FA"/>
    <w:rsid w:val="00533AB8"/>
    <w:rsid w:val="005416D2"/>
    <w:rsid w:val="00545616"/>
    <w:rsid w:val="005464AA"/>
    <w:rsid w:val="00546735"/>
    <w:rsid w:val="005474C8"/>
    <w:rsid w:val="005549B8"/>
    <w:rsid w:val="00556333"/>
    <w:rsid w:val="0055700C"/>
    <w:rsid w:val="0056212D"/>
    <w:rsid w:val="0056250B"/>
    <w:rsid w:val="005627AB"/>
    <w:rsid w:val="005653A9"/>
    <w:rsid w:val="00565AF2"/>
    <w:rsid w:val="0056758F"/>
    <w:rsid w:val="0057038E"/>
    <w:rsid w:val="00570F55"/>
    <w:rsid w:val="00573130"/>
    <w:rsid w:val="00576132"/>
    <w:rsid w:val="00576F19"/>
    <w:rsid w:val="00577949"/>
    <w:rsid w:val="0058341F"/>
    <w:rsid w:val="005857A1"/>
    <w:rsid w:val="0059193B"/>
    <w:rsid w:val="00592405"/>
    <w:rsid w:val="005A0171"/>
    <w:rsid w:val="005A1844"/>
    <w:rsid w:val="005A30EA"/>
    <w:rsid w:val="005A3292"/>
    <w:rsid w:val="005B1D36"/>
    <w:rsid w:val="005B47F8"/>
    <w:rsid w:val="005C08EC"/>
    <w:rsid w:val="005C683F"/>
    <w:rsid w:val="005C6895"/>
    <w:rsid w:val="005D6C7A"/>
    <w:rsid w:val="005E432D"/>
    <w:rsid w:val="005F16C2"/>
    <w:rsid w:val="005F7584"/>
    <w:rsid w:val="006002E5"/>
    <w:rsid w:val="00601526"/>
    <w:rsid w:val="00603D73"/>
    <w:rsid w:val="0060436D"/>
    <w:rsid w:val="0061173F"/>
    <w:rsid w:val="00611E89"/>
    <w:rsid w:val="00617B57"/>
    <w:rsid w:val="00622643"/>
    <w:rsid w:val="00622B9F"/>
    <w:rsid w:val="00624D03"/>
    <w:rsid w:val="00631EE2"/>
    <w:rsid w:val="00633BF3"/>
    <w:rsid w:val="00634DBB"/>
    <w:rsid w:val="0063652F"/>
    <w:rsid w:val="0063667C"/>
    <w:rsid w:val="006379C7"/>
    <w:rsid w:val="00641F29"/>
    <w:rsid w:val="0064579B"/>
    <w:rsid w:val="00651BDB"/>
    <w:rsid w:val="00655F79"/>
    <w:rsid w:val="00656011"/>
    <w:rsid w:val="0066159F"/>
    <w:rsid w:val="00664ABD"/>
    <w:rsid w:val="00664E65"/>
    <w:rsid w:val="0066590C"/>
    <w:rsid w:val="0066779B"/>
    <w:rsid w:val="00671981"/>
    <w:rsid w:val="006771A4"/>
    <w:rsid w:val="006810D8"/>
    <w:rsid w:val="0068552D"/>
    <w:rsid w:val="00687740"/>
    <w:rsid w:val="00693901"/>
    <w:rsid w:val="006973FA"/>
    <w:rsid w:val="006A3385"/>
    <w:rsid w:val="006A56FD"/>
    <w:rsid w:val="006A63F7"/>
    <w:rsid w:val="006B06DB"/>
    <w:rsid w:val="006B13CC"/>
    <w:rsid w:val="006B2FFC"/>
    <w:rsid w:val="006B62F2"/>
    <w:rsid w:val="006B6D3A"/>
    <w:rsid w:val="006C590B"/>
    <w:rsid w:val="006C6896"/>
    <w:rsid w:val="006D0BDC"/>
    <w:rsid w:val="006D4298"/>
    <w:rsid w:val="006D59B8"/>
    <w:rsid w:val="006E2336"/>
    <w:rsid w:val="006E62D7"/>
    <w:rsid w:val="006E6852"/>
    <w:rsid w:val="006F1BFA"/>
    <w:rsid w:val="006F2373"/>
    <w:rsid w:val="006F4A87"/>
    <w:rsid w:val="00700EEF"/>
    <w:rsid w:val="00706ACC"/>
    <w:rsid w:val="00710E60"/>
    <w:rsid w:val="007112BE"/>
    <w:rsid w:val="0071428F"/>
    <w:rsid w:val="00717BC5"/>
    <w:rsid w:val="00721FF8"/>
    <w:rsid w:val="00726562"/>
    <w:rsid w:val="00731509"/>
    <w:rsid w:val="007334B2"/>
    <w:rsid w:val="007334C8"/>
    <w:rsid w:val="00733560"/>
    <w:rsid w:val="0073470C"/>
    <w:rsid w:val="00734C43"/>
    <w:rsid w:val="007367AC"/>
    <w:rsid w:val="00740984"/>
    <w:rsid w:val="00741FEC"/>
    <w:rsid w:val="00742F78"/>
    <w:rsid w:val="00744D22"/>
    <w:rsid w:val="00746018"/>
    <w:rsid w:val="00750AE3"/>
    <w:rsid w:val="00750CCE"/>
    <w:rsid w:val="00752275"/>
    <w:rsid w:val="00752FEF"/>
    <w:rsid w:val="00754145"/>
    <w:rsid w:val="00756BC7"/>
    <w:rsid w:val="00756CAC"/>
    <w:rsid w:val="007626E6"/>
    <w:rsid w:val="007658FD"/>
    <w:rsid w:val="007662FB"/>
    <w:rsid w:val="007712B0"/>
    <w:rsid w:val="007719B7"/>
    <w:rsid w:val="00774D1B"/>
    <w:rsid w:val="007760E2"/>
    <w:rsid w:val="00780AEB"/>
    <w:rsid w:val="00783616"/>
    <w:rsid w:val="0078549A"/>
    <w:rsid w:val="007965C4"/>
    <w:rsid w:val="007B07E9"/>
    <w:rsid w:val="007B0DFC"/>
    <w:rsid w:val="007B282F"/>
    <w:rsid w:val="007B2CE5"/>
    <w:rsid w:val="007C169C"/>
    <w:rsid w:val="007C186F"/>
    <w:rsid w:val="007C23B8"/>
    <w:rsid w:val="007C4046"/>
    <w:rsid w:val="007C4282"/>
    <w:rsid w:val="007C43B0"/>
    <w:rsid w:val="007C60C6"/>
    <w:rsid w:val="007D0DEF"/>
    <w:rsid w:val="007D3A77"/>
    <w:rsid w:val="007D46D9"/>
    <w:rsid w:val="007E2A04"/>
    <w:rsid w:val="007E4210"/>
    <w:rsid w:val="007E5A0D"/>
    <w:rsid w:val="007E5C76"/>
    <w:rsid w:val="007F0C6B"/>
    <w:rsid w:val="007F11A7"/>
    <w:rsid w:val="007F5855"/>
    <w:rsid w:val="007F6C8A"/>
    <w:rsid w:val="00802646"/>
    <w:rsid w:val="0080317C"/>
    <w:rsid w:val="00805529"/>
    <w:rsid w:val="00805A2C"/>
    <w:rsid w:val="008071D5"/>
    <w:rsid w:val="00810726"/>
    <w:rsid w:val="0081743A"/>
    <w:rsid w:val="00820954"/>
    <w:rsid w:val="00821927"/>
    <w:rsid w:val="00822406"/>
    <w:rsid w:val="00824785"/>
    <w:rsid w:val="00824D92"/>
    <w:rsid w:val="008263F2"/>
    <w:rsid w:val="00826893"/>
    <w:rsid w:val="00827816"/>
    <w:rsid w:val="0083172F"/>
    <w:rsid w:val="00833CF0"/>
    <w:rsid w:val="00834E6B"/>
    <w:rsid w:val="008355D2"/>
    <w:rsid w:val="008362C4"/>
    <w:rsid w:val="008370E0"/>
    <w:rsid w:val="0084026C"/>
    <w:rsid w:val="00840611"/>
    <w:rsid w:val="00840B77"/>
    <w:rsid w:val="008419FD"/>
    <w:rsid w:val="00841F6A"/>
    <w:rsid w:val="008421F3"/>
    <w:rsid w:val="00842245"/>
    <w:rsid w:val="0084341D"/>
    <w:rsid w:val="00845317"/>
    <w:rsid w:val="00847A56"/>
    <w:rsid w:val="00850BA0"/>
    <w:rsid w:val="00854822"/>
    <w:rsid w:val="00854F81"/>
    <w:rsid w:val="0085562A"/>
    <w:rsid w:val="00857A55"/>
    <w:rsid w:val="0086015C"/>
    <w:rsid w:val="008636D6"/>
    <w:rsid w:val="00863B98"/>
    <w:rsid w:val="00871E36"/>
    <w:rsid w:val="00873FF2"/>
    <w:rsid w:val="00876FDD"/>
    <w:rsid w:val="00877791"/>
    <w:rsid w:val="0088373E"/>
    <w:rsid w:val="00885EE0"/>
    <w:rsid w:val="00886C88"/>
    <w:rsid w:val="00892684"/>
    <w:rsid w:val="008947F8"/>
    <w:rsid w:val="008A7864"/>
    <w:rsid w:val="008B0BDE"/>
    <w:rsid w:val="008B17FB"/>
    <w:rsid w:val="008B2230"/>
    <w:rsid w:val="008B4372"/>
    <w:rsid w:val="008B7641"/>
    <w:rsid w:val="008C05BD"/>
    <w:rsid w:val="008C3312"/>
    <w:rsid w:val="008C42B4"/>
    <w:rsid w:val="008C485C"/>
    <w:rsid w:val="008C63F8"/>
    <w:rsid w:val="008C7664"/>
    <w:rsid w:val="008D03C9"/>
    <w:rsid w:val="008D1D78"/>
    <w:rsid w:val="008D2969"/>
    <w:rsid w:val="008D3EE8"/>
    <w:rsid w:val="008D4009"/>
    <w:rsid w:val="008D49EA"/>
    <w:rsid w:val="008D7CC1"/>
    <w:rsid w:val="008E078E"/>
    <w:rsid w:val="008E2B17"/>
    <w:rsid w:val="008E4889"/>
    <w:rsid w:val="008E4AAA"/>
    <w:rsid w:val="008E64F0"/>
    <w:rsid w:val="008F0DA9"/>
    <w:rsid w:val="008F2081"/>
    <w:rsid w:val="008F4C57"/>
    <w:rsid w:val="008F6651"/>
    <w:rsid w:val="008F7B36"/>
    <w:rsid w:val="009034BB"/>
    <w:rsid w:val="00906948"/>
    <w:rsid w:val="0091113E"/>
    <w:rsid w:val="0091119B"/>
    <w:rsid w:val="009137D2"/>
    <w:rsid w:val="00917177"/>
    <w:rsid w:val="00917213"/>
    <w:rsid w:val="009176A4"/>
    <w:rsid w:val="009179D6"/>
    <w:rsid w:val="00921DB5"/>
    <w:rsid w:val="0092263E"/>
    <w:rsid w:val="009230A8"/>
    <w:rsid w:val="00925084"/>
    <w:rsid w:val="009252FD"/>
    <w:rsid w:val="00931032"/>
    <w:rsid w:val="00933228"/>
    <w:rsid w:val="0094334C"/>
    <w:rsid w:val="0094674B"/>
    <w:rsid w:val="009476D3"/>
    <w:rsid w:val="00957A10"/>
    <w:rsid w:val="00960298"/>
    <w:rsid w:val="009617EB"/>
    <w:rsid w:val="0096262A"/>
    <w:rsid w:val="00963690"/>
    <w:rsid w:val="00965737"/>
    <w:rsid w:val="00967036"/>
    <w:rsid w:val="00970F53"/>
    <w:rsid w:val="00971B44"/>
    <w:rsid w:val="00980E44"/>
    <w:rsid w:val="009929D4"/>
    <w:rsid w:val="00996312"/>
    <w:rsid w:val="009979A7"/>
    <w:rsid w:val="009A180C"/>
    <w:rsid w:val="009A198C"/>
    <w:rsid w:val="009A1EFD"/>
    <w:rsid w:val="009A2813"/>
    <w:rsid w:val="009A38FD"/>
    <w:rsid w:val="009A71AA"/>
    <w:rsid w:val="009B064C"/>
    <w:rsid w:val="009B1CB9"/>
    <w:rsid w:val="009B6667"/>
    <w:rsid w:val="009C15C9"/>
    <w:rsid w:val="009D186B"/>
    <w:rsid w:val="009D7644"/>
    <w:rsid w:val="009D7985"/>
    <w:rsid w:val="009E3F82"/>
    <w:rsid w:val="009F29D4"/>
    <w:rsid w:val="009F3514"/>
    <w:rsid w:val="009F3A00"/>
    <w:rsid w:val="009F4969"/>
    <w:rsid w:val="009F65C0"/>
    <w:rsid w:val="009F7619"/>
    <w:rsid w:val="009F7990"/>
    <w:rsid w:val="009F7A41"/>
    <w:rsid w:val="00A029EC"/>
    <w:rsid w:val="00A02E12"/>
    <w:rsid w:val="00A04983"/>
    <w:rsid w:val="00A05C5E"/>
    <w:rsid w:val="00A060B4"/>
    <w:rsid w:val="00A0753F"/>
    <w:rsid w:val="00A078E1"/>
    <w:rsid w:val="00A10FFD"/>
    <w:rsid w:val="00A11347"/>
    <w:rsid w:val="00A11818"/>
    <w:rsid w:val="00A30DE3"/>
    <w:rsid w:val="00A31DAA"/>
    <w:rsid w:val="00A32408"/>
    <w:rsid w:val="00A35DA3"/>
    <w:rsid w:val="00A36552"/>
    <w:rsid w:val="00A41DEF"/>
    <w:rsid w:val="00A46476"/>
    <w:rsid w:val="00A47AB3"/>
    <w:rsid w:val="00A47DA0"/>
    <w:rsid w:val="00A51559"/>
    <w:rsid w:val="00A55AAA"/>
    <w:rsid w:val="00A60427"/>
    <w:rsid w:val="00A63C00"/>
    <w:rsid w:val="00A6472E"/>
    <w:rsid w:val="00A6486B"/>
    <w:rsid w:val="00A64947"/>
    <w:rsid w:val="00A66451"/>
    <w:rsid w:val="00A71AF4"/>
    <w:rsid w:val="00A72AC2"/>
    <w:rsid w:val="00A72AC5"/>
    <w:rsid w:val="00A72B5C"/>
    <w:rsid w:val="00A730BB"/>
    <w:rsid w:val="00A73BA9"/>
    <w:rsid w:val="00A76791"/>
    <w:rsid w:val="00A77684"/>
    <w:rsid w:val="00A7768C"/>
    <w:rsid w:val="00A77BFF"/>
    <w:rsid w:val="00A81C50"/>
    <w:rsid w:val="00A85038"/>
    <w:rsid w:val="00A866D7"/>
    <w:rsid w:val="00A86746"/>
    <w:rsid w:val="00A86B87"/>
    <w:rsid w:val="00A86EF7"/>
    <w:rsid w:val="00A9001C"/>
    <w:rsid w:val="00A91D88"/>
    <w:rsid w:val="00A9402E"/>
    <w:rsid w:val="00AA3CAD"/>
    <w:rsid w:val="00AA79D8"/>
    <w:rsid w:val="00AB075E"/>
    <w:rsid w:val="00AB1658"/>
    <w:rsid w:val="00AB2E3D"/>
    <w:rsid w:val="00AC1F08"/>
    <w:rsid w:val="00AD309F"/>
    <w:rsid w:val="00AD40C4"/>
    <w:rsid w:val="00AD4D69"/>
    <w:rsid w:val="00AE03E0"/>
    <w:rsid w:val="00AE0F38"/>
    <w:rsid w:val="00AE2044"/>
    <w:rsid w:val="00AE3B92"/>
    <w:rsid w:val="00AE550C"/>
    <w:rsid w:val="00AE73B8"/>
    <w:rsid w:val="00AF1F62"/>
    <w:rsid w:val="00AF45B0"/>
    <w:rsid w:val="00B03244"/>
    <w:rsid w:val="00B13218"/>
    <w:rsid w:val="00B210F0"/>
    <w:rsid w:val="00B217B4"/>
    <w:rsid w:val="00B24666"/>
    <w:rsid w:val="00B2560F"/>
    <w:rsid w:val="00B25C10"/>
    <w:rsid w:val="00B27F33"/>
    <w:rsid w:val="00B30815"/>
    <w:rsid w:val="00B314CC"/>
    <w:rsid w:val="00B33E91"/>
    <w:rsid w:val="00B3411F"/>
    <w:rsid w:val="00B34BE4"/>
    <w:rsid w:val="00B37C98"/>
    <w:rsid w:val="00B40093"/>
    <w:rsid w:val="00B43CCA"/>
    <w:rsid w:val="00B44597"/>
    <w:rsid w:val="00B465AB"/>
    <w:rsid w:val="00B52E86"/>
    <w:rsid w:val="00B62A21"/>
    <w:rsid w:val="00B64660"/>
    <w:rsid w:val="00B64FBF"/>
    <w:rsid w:val="00B67031"/>
    <w:rsid w:val="00B7185B"/>
    <w:rsid w:val="00B73ACE"/>
    <w:rsid w:val="00B771ED"/>
    <w:rsid w:val="00B82BB6"/>
    <w:rsid w:val="00B82F22"/>
    <w:rsid w:val="00B90BC9"/>
    <w:rsid w:val="00B91CC2"/>
    <w:rsid w:val="00B944FB"/>
    <w:rsid w:val="00B946F3"/>
    <w:rsid w:val="00B955EC"/>
    <w:rsid w:val="00B961E8"/>
    <w:rsid w:val="00BA0582"/>
    <w:rsid w:val="00BA0BF9"/>
    <w:rsid w:val="00BA151F"/>
    <w:rsid w:val="00BA5F8A"/>
    <w:rsid w:val="00BA707B"/>
    <w:rsid w:val="00BA7377"/>
    <w:rsid w:val="00BB0700"/>
    <w:rsid w:val="00BB4988"/>
    <w:rsid w:val="00BB7CEE"/>
    <w:rsid w:val="00BC0D0E"/>
    <w:rsid w:val="00BC1129"/>
    <w:rsid w:val="00BC36B3"/>
    <w:rsid w:val="00BC43C0"/>
    <w:rsid w:val="00BC5A44"/>
    <w:rsid w:val="00BD2A49"/>
    <w:rsid w:val="00BD34DB"/>
    <w:rsid w:val="00BD4436"/>
    <w:rsid w:val="00BD7715"/>
    <w:rsid w:val="00BE0EAC"/>
    <w:rsid w:val="00BE0EFD"/>
    <w:rsid w:val="00BE2DE5"/>
    <w:rsid w:val="00BE6757"/>
    <w:rsid w:val="00BF0EE6"/>
    <w:rsid w:val="00C0105B"/>
    <w:rsid w:val="00C073F7"/>
    <w:rsid w:val="00C120C7"/>
    <w:rsid w:val="00C12D57"/>
    <w:rsid w:val="00C15432"/>
    <w:rsid w:val="00C16295"/>
    <w:rsid w:val="00C200A6"/>
    <w:rsid w:val="00C20DA0"/>
    <w:rsid w:val="00C238D6"/>
    <w:rsid w:val="00C24427"/>
    <w:rsid w:val="00C248D8"/>
    <w:rsid w:val="00C251F3"/>
    <w:rsid w:val="00C27B1F"/>
    <w:rsid w:val="00C3075C"/>
    <w:rsid w:val="00C325B6"/>
    <w:rsid w:val="00C33E96"/>
    <w:rsid w:val="00C34623"/>
    <w:rsid w:val="00C34D9C"/>
    <w:rsid w:val="00C3697F"/>
    <w:rsid w:val="00C45173"/>
    <w:rsid w:val="00C53A08"/>
    <w:rsid w:val="00C54200"/>
    <w:rsid w:val="00C631AC"/>
    <w:rsid w:val="00C6567C"/>
    <w:rsid w:val="00C67050"/>
    <w:rsid w:val="00C72C22"/>
    <w:rsid w:val="00C72FF4"/>
    <w:rsid w:val="00C737CA"/>
    <w:rsid w:val="00C77A2E"/>
    <w:rsid w:val="00C80E9D"/>
    <w:rsid w:val="00C83DFC"/>
    <w:rsid w:val="00C87683"/>
    <w:rsid w:val="00C92592"/>
    <w:rsid w:val="00C970D7"/>
    <w:rsid w:val="00CA22E2"/>
    <w:rsid w:val="00CA64BF"/>
    <w:rsid w:val="00CA7918"/>
    <w:rsid w:val="00CA7E68"/>
    <w:rsid w:val="00CA7E96"/>
    <w:rsid w:val="00CB0F75"/>
    <w:rsid w:val="00CB3FFE"/>
    <w:rsid w:val="00CB50A8"/>
    <w:rsid w:val="00CB5AF8"/>
    <w:rsid w:val="00CB5ECE"/>
    <w:rsid w:val="00CB6A6E"/>
    <w:rsid w:val="00CB7ED6"/>
    <w:rsid w:val="00CC7923"/>
    <w:rsid w:val="00CD2376"/>
    <w:rsid w:val="00CD310E"/>
    <w:rsid w:val="00CD41F3"/>
    <w:rsid w:val="00CD5538"/>
    <w:rsid w:val="00CD7578"/>
    <w:rsid w:val="00CE3E5B"/>
    <w:rsid w:val="00CE535A"/>
    <w:rsid w:val="00CF07DD"/>
    <w:rsid w:val="00CF0A1D"/>
    <w:rsid w:val="00CF170E"/>
    <w:rsid w:val="00CF31BB"/>
    <w:rsid w:val="00CF3297"/>
    <w:rsid w:val="00CF3733"/>
    <w:rsid w:val="00CF5E23"/>
    <w:rsid w:val="00D01134"/>
    <w:rsid w:val="00D01EC6"/>
    <w:rsid w:val="00D02E98"/>
    <w:rsid w:val="00D07E3E"/>
    <w:rsid w:val="00D10569"/>
    <w:rsid w:val="00D11D6B"/>
    <w:rsid w:val="00D11FDC"/>
    <w:rsid w:val="00D136DA"/>
    <w:rsid w:val="00D1446B"/>
    <w:rsid w:val="00D14C72"/>
    <w:rsid w:val="00D21910"/>
    <w:rsid w:val="00D33395"/>
    <w:rsid w:val="00D3426A"/>
    <w:rsid w:val="00D351E8"/>
    <w:rsid w:val="00D35384"/>
    <w:rsid w:val="00D41489"/>
    <w:rsid w:val="00D44A37"/>
    <w:rsid w:val="00D463CF"/>
    <w:rsid w:val="00D50E2F"/>
    <w:rsid w:val="00D54D60"/>
    <w:rsid w:val="00D56153"/>
    <w:rsid w:val="00D574F2"/>
    <w:rsid w:val="00D61765"/>
    <w:rsid w:val="00D6462F"/>
    <w:rsid w:val="00D64B72"/>
    <w:rsid w:val="00D74206"/>
    <w:rsid w:val="00D756F9"/>
    <w:rsid w:val="00D7598E"/>
    <w:rsid w:val="00D81446"/>
    <w:rsid w:val="00D82AD6"/>
    <w:rsid w:val="00D832A3"/>
    <w:rsid w:val="00D85EA8"/>
    <w:rsid w:val="00D87844"/>
    <w:rsid w:val="00D87C8B"/>
    <w:rsid w:val="00D94CD8"/>
    <w:rsid w:val="00D94FDF"/>
    <w:rsid w:val="00D96472"/>
    <w:rsid w:val="00D97990"/>
    <w:rsid w:val="00D97A16"/>
    <w:rsid w:val="00D97FBC"/>
    <w:rsid w:val="00DA0633"/>
    <w:rsid w:val="00DA31E9"/>
    <w:rsid w:val="00DA5A75"/>
    <w:rsid w:val="00DA6A25"/>
    <w:rsid w:val="00DB2054"/>
    <w:rsid w:val="00DB3143"/>
    <w:rsid w:val="00DB41D1"/>
    <w:rsid w:val="00DB53A4"/>
    <w:rsid w:val="00DB7EA6"/>
    <w:rsid w:val="00DD75FC"/>
    <w:rsid w:val="00DE0F91"/>
    <w:rsid w:val="00DE1189"/>
    <w:rsid w:val="00DE2BF4"/>
    <w:rsid w:val="00DE7C95"/>
    <w:rsid w:val="00E03424"/>
    <w:rsid w:val="00E03ED0"/>
    <w:rsid w:val="00E10A1A"/>
    <w:rsid w:val="00E17BB7"/>
    <w:rsid w:val="00E21A8F"/>
    <w:rsid w:val="00E21DBF"/>
    <w:rsid w:val="00E26BE6"/>
    <w:rsid w:val="00E3181D"/>
    <w:rsid w:val="00E33BDC"/>
    <w:rsid w:val="00E34EE4"/>
    <w:rsid w:val="00E37CB8"/>
    <w:rsid w:val="00E4082B"/>
    <w:rsid w:val="00E42000"/>
    <w:rsid w:val="00E42EA9"/>
    <w:rsid w:val="00E43076"/>
    <w:rsid w:val="00E466BB"/>
    <w:rsid w:val="00E50AEE"/>
    <w:rsid w:val="00E569BC"/>
    <w:rsid w:val="00E57B62"/>
    <w:rsid w:val="00E6392A"/>
    <w:rsid w:val="00E6745D"/>
    <w:rsid w:val="00E7000B"/>
    <w:rsid w:val="00E702C1"/>
    <w:rsid w:val="00E731A7"/>
    <w:rsid w:val="00E75D67"/>
    <w:rsid w:val="00E83BD5"/>
    <w:rsid w:val="00E8410C"/>
    <w:rsid w:val="00E847EA"/>
    <w:rsid w:val="00E85D4E"/>
    <w:rsid w:val="00E86C47"/>
    <w:rsid w:val="00E87FC3"/>
    <w:rsid w:val="00E91D48"/>
    <w:rsid w:val="00E967CB"/>
    <w:rsid w:val="00EA1029"/>
    <w:rsid w:val="00EA2634"/>
    <w:rsid w:val="00EA3D09"/>
    <w:rsid w:val="00EA5F63"/>
    <w:rsid w:val="00EB0442"/>
    <w:rsid w:val="00EB1254"/>
    <w:rsid w:val="00EB5BB3"/>
    <w:rsid w:val="00EC0C6E"/>
    <w:rsid w:val="00EC1E2B"/>
    <w:rsid w:val="00EC3A3D"/>
    <w:rsid w:val="00EC3BBD"/>
    <w:rsid w:val="00ED2F8E"/>
    <w:rsid w:val="00EE25C4"/>
    <w:rsid w:val="00EE2DC5"/>
    <w:rsid w:val="00EE379D"/>
    <w:rsid w:val="00EE4C98"/>
    <w:rsid w:val="00EE5B73"/>
    <w:rsid w:val="00EE7958"/>
    <w:rsid w:val="00EF28C1"/>
    <w:rsid w:val="00EF3D5F"/>
    <w:rsid w:val="00EF4682"/>
    <w:rsid w:val="00EF6F93"/>
    <w:rsid w:val="00F03595"/>
    <w:rsid w:val="00F12D8F"/>
    <w:rsid w:val="00F1380E"/>
    <w:rsid w:val="00F1390B"/>
    <w:rsid w:val="00F155D2"/>
    <w:rsid w:val="00F204B3"/>
    <w:rsid w:val="00F24327"/>
    <w:rsid w:val="00F3124B"/>
    <w:rsid w:val="00F3393A"/>
    <w:rsid w:val="00F36846"/>
    <w:rsid w:val="00F43434"/>
    <w:rsid w:val="00F44C6A"/>
    <w:rsid w:val="00F516A8"/>
    <w:rsid w:val="00F51990"/>
    <w:rsid w:val="00F530B7"/>
    <w:rsid w:val="00F54973"/>
    <w:rsid w:val="00F5595C"/>
    <w:rsid w:val="00F55BA0"/>
    <w:rsid w:val="00F576A9"/>
    <w:rsid w:val="00F62419"/>
    <w:rsid w:val="00F640F5"/>
    <w:rsid w:val="00F650DD"/>
    <w:rsid w:val="00F6546F"/>
    <w:rsid w:val="00F71266"/>
    <w:rsid w:val="00F71D7E"/>
    <w:rsid w:val="00F71FB8"/>
    <w:rsid w:val="00F72319"/>
    <w:rsid w:val="00F73B1E"/>
    <w:rsid w:val="00F74E04"/>
    <w:rsid w:val="00F805CB"/>
    <w:rsid w:val="00F819FA"/>
    <w:rsid w:val="00F82445"/>
    <w:rsid w:val="00F87228"/>
    <w:rsid w:val="00F87B82"/>
    <w:rsid w:val="00F917D5"/>
    <w:rsid w:val="00F93E30"/>
    <w:rsid w:val="00F954FE"/>
    <w:rsid w:val="00F9629C"/>
    <w:rsid w:val="00FA1A46"/>
    <w:rsid w:val="00FA3CE0"/>
    <w:rsid w:val="00FA4306"/>
    <w:rsid w:val="00FB3781"/>
    <w:rsid w:val="00FB3FA3"/>
    <w:rsid w:val="00FC024D"/>
    <w:rsid w:val="00FC1618"/>
    <w:rsid w:val="00FC386E"/>
    <w:rsid w:val="00FC3E05"/>
    <w:rsid w:val="00FC5DA9"/>
    <w:rsid w:val="00FC7B0B"/>
    <w:rsid w:val="00FD1D7B"/>
    <w:rsid w:val="00FD3B5A"/>
    <w:rsid w:val="00FD4BA4"/>
    <w:rsid w:val="00FE11D1"/>
    <w:rsid w:val="00FE447E"/>
    <w:rsid w:val="00FE59A0"/>
    <w:rsid w:val="00FE622D"/>
    <w:rsid w:val="00FE7456"/>
    <w:rsid w:val="00FE746E"/>
    <w:rsid w:val="00FF194A"/>
    <w:rsid w:val="00FF21B8"/>
    <w:rsid w:val="00FF2D2B"/>
    <w:rsid w:val="00FF5CF1"/>
    <w:rsid w:val="00FF5D33"/>
    <w:rsid w:val="00FF74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B3E3C"/>
  <w15:docId w15:val="{37D59756-BBB3-41AA-B6AF-2BBD65E4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7C95"/>
    <w:pPr>
      <w:suppressAutoHyphens/>
      <w:spacing w:line="240" w:lineRule="atLeast"/>
    </w:pPr>
    <w:rPr>
      <w:rFonts w:eastAsia="SimSun"/>
      <w:lang w:val="en-GB" w:eastAsia="zh-CN"/>
    </w:rPr>
  </w:style>
  <w:style w:type="paragraph" w:styleId="Heading1">
    <w:name w:val="heading 1"/>
    <w:aliases w:val="Table_G"/>
    <w:basedOn w:val="Normal"/>
    <w:next w:val="AnnoH23G"/>
    <w:qFormat/>
    <w:rsid w:val="00FA1A46"/>
    <w:pPr>
      <w:ind w:left="1134"/>
      <w:outlineLvl w:val="0"/>
    </w:pPr>
  </w:style>
  <w:style w:type="paragraph" w:styleId="Heading2">
    <w:name w:val="heading 2"/>
    <w:basedOn w:val="Normal"/>
    <w:next w:val="Normal"/>
    <w:link w:val="Heading2Char"/>
    <w:qFormat/>
    <w:rsid w:val="00FA1A46"/>
    <w:pPr>
      <w:keepNext/>
      <w:keepLines/>
      <w:spacing w:before="200"/>
      <w:outlineLvl w:val="1"/>
    </w:pPr>
    <w:rPr>
      <w:rFonts w:ascii="Cambria" w:eastAsia="Times New Roman" w:hAnsi="Cambria"/>
      <w:b/>
      <w:bCs/>
      <w:color w:val="4F81BD"/>
      <w:sz w:val="26"/>
      <w:szCs w:val="26"/>
    </w:rPr>
  </w:style>
  <w:style w:type="paragraph" w:styleId="Heading4">
    <w:name w:val="heading 4"/>
    <w:basedOn w:val="Normal"/>
    <w:next w:val="Normal"/>
    <w:link w:val="Heading4Char"/>
    <w:qFormat/>
    <w:rsid w:val="00FA1A46"/>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qFormat/>
    <w:rsid w:val="00FA1A46"/>
    <w:pPr>
      <w:keepNext/>
      <w:keepLines/>
      <w:spacing w:before="200"/>
      <w:outlineLvl w:val="4"/>
    </w:pPr>
    <w:rPr>
      <w:rFonts w:ascii="Cambria" w:eastAsia="Times New Roma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MG">
    <w:name w:val="_ H __M_G"/>
    <w:basedOn w:val="Normal"/>
    <w:next w:val="Normal"/>
    <w:rsid w:val="00FA1A46"/>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rsid w:val="00FA1A46"/>
    <w:pPr>
      <w:keepNext/>
      <w:keepLines/>
      <w:tabs>
        <w:tab w:val="right" w:pos="851"/>
      </w:tabs>
      <w:spacing w:before="360" w:after="240" w:line="300" w:lineRule="exact"/>
      <w:ind w:left="1134" w:right="1134" w:hanging="1134"/>
    </w:pPr>
    <w:rPr>
      <w:b/>
      <w:sz w:val="28"/>
    </w:rPr>
  </w:style>
  <w:style w:type="paragraph" w:customStyle="1" w:styleId="H1G">
    <w:name w:val="_ H_1_G"/>
    <w:basedOn w:val="Normal"/>
    <w:next w:val="Normal"/>
    <w:rsid w:val="00FA1A46"/>
    <w:pPr>
      <w:keepNext/>
      <w:keepLines/>
      <w:spacing w:before="360" w:after="240" w:line="270" w:lineRule="exact"/>
      <w:ind w:left="1134" w:right="1134" w:hanging="1134"/>
    </w:pPr>
    <w:rPr>
      <w:b/>
      <w:sz w:val="24"/>
    </w:rPr>
  </w:style>
  <w:style w:type="paragraph" w:customStyle="1" w:styleId="H23G">
    <w:name w:val="_ H_2/3_G"/>
    <w:basedOn w:val="Normal"/>
    <w:next w:val="Normal"/>
    <w:rsid w:val="00FA1A46"/>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rsid w:val="00FA1A46"/>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rsid w:val="00FA1A46"/>
    <w:pPr>
      <w:keepNext/>
      <w:keepLines/>
      <w:tabs>
        <w:tab w:val="right" w:pos="851"/>
      </w:tabs>
      <w:spacing w:before="240" w:after="120" w:line="240" w:lineRule="exact"/>
      <w:ind w:left="1134" w:right="1134" w:hanging="1134"/>
    </w:pPr>
  </w:style>
  <w:style w:type="paragraph" w:customStyle="1" w:styleId="SingleTxtG">
    <w:name w:val="_ Single Txt_G"/>
    <w:basedOn w:val="Normal"/>
    <w:rsid w:val="00FA1A46"/>
    <w:pPr>
      <w:spacing w:after="120"/>
      <w:ind w:left="1134" w:right="1134"/>
      <w:jc w:val="both"/>
    </w:pPr>
    <w:rPr>
      <w:rFonts w:eastAsia="Times New Roman"/>
      <w:lang w:eastAsia="en-US"/>
    </w:rPr>
  </w:style>
  <w:style w:type="paragraph" w:customStyle="1" w:styleId="SLG">
    <w:name w:val="__S_L_G"/>
    <w:basedOn w:val="Normal"/>
    <w:next w:val="Normal"/>
    <w:rsid w:val="00FA1A46"/>
    <w:pPr>
      <w:keepNext/>
      <w:keepLines/>
      <w:spacing w:before="240" w:after="240" w:line="580" w:lineRule="exact"/>
      <w:ind w:left="1134" w:right="1134"/>
    </w:pPr>
    <w:rPr>
      <w:b/>
      <w:sz w:val="56"/>
    </w:rPr>
  </w:style>
  <w:style w:type="paragraph" w:customStyle="1" w:styleId="SMG">
    <w:name w:val="__S_M_G"/>
    <w:basedOn w:val="Normal"/>
    <w:next w:val="Normal"/>
    <w:rsid w:val="00FA1A46"/>
    <w:pPr>
      <w:keepNext/>
      <w:keepLines/>
      <w:spacing w:before="240" w:after="240" w:line="420" w:lineRule="exact"/>
      <w:ind w:left="1134" w:right="1134"/>
    </w:pPr>
    <w:rPr>
      <w:b/>
      <w:sz w:val="40"/>
    </w:rPr>
  </w:style>
  <w:style w:type="paragraph" w:customStyle="1" w:styleId="SSG">
    <w:name w:val="__S_S_G"/>
    <w:basedOn w:val="Normal"/>
    <w:next w:val="Normal"/>
    <w:rsid w:val="00FA1A46"/>
    <w:pPr>
      <w:keepNext/>
      <w:keepLines/>
      <w:spacing w:before="240" w:after="240" w:line="300" w:lineRule="exact"/>
      <w:ind w:left="1134" w:right="1134"/>
    </w:pPr>
    <w:rPr>
      <w:b/>
      <w:sz w:val="28"/>
    </w:rPr>
  </w:style>
  <w:style w:type="paragraph" w:customStyle="1" w:styleId="XLargeG">
    <w:name w:val="__XLarge_G"/>
    <w:basedOn w:val="Normal"/>
    <w:next w:val="Normal"/>
    <w:rsid w:val="00FA1A46"/>
    <w:pPr>
      <w:keepNext/>
      <w:keepLines/>
      <w:spacing w:before="240" w:after="240" w:line="420" w:lineRule="exact"/>
      <w:ind w:left="1134" w:right="1134"/>
    </w:pPr>
    <w:rPr>
      <w:b/>
      <w:sz w:val="40"/>
    </w:rPr>
  </w:style>
  <w:style w:type="paragraph" w:customStyle="1" w:styleId="Bullet1G">
    <w:name w:val="_Bullet 1_G"/>
    <w:basedOn w:val="Normal"/>
    <w:rsid w:val="00FA1A46"/>
    <w:pPr>
      <w:numPr>
        <w:numId w:val="8"/>
      </w:numPr>
      <w:spacing w:after="120"/>
      <w:ind w:right="1134"/>
      <w:jc w:val="both"/>
    </w:pPr>
  </w:style>
  <w:style w:type="paragraph" w:customStyle="1" w:styleId="Bullet2G">
    <w:name w:val="_Bullet 2_G"/>
    <w:basedOn w:val="Normal"/>
    <w:rsid w:val="00FA1A46"/>
    <w:pPr>
      <w:numPr>
        <w:numId w:val="9"/>
      </w:numPr>
      <w:spacing w:after="120"/>
      <w:ind w:right="1134"/>
      <w:jc w:val="both"/>
    </w:pPr>
  </w:style>
  <w:style w:type="paragraph" w:customStyle="1" w:styleId="AnnoHCHG">
    <w:name w:val="Anno _ H_CH_G"/>
    <w:basedOn w:val="Normal"/>
    <w:next w:val="AnnoH1G"/>
    <w:rsid w:val="00FA1A46"/>
    <w:pPr>
      <w:keepNext/>
      <w:keepLines/>
      <w:numPr>
        <w:numId w:val="13"/>
      </w:numPr>
      <w:spacing w:before="360" w:after="240" w:line="300" w:lineRule="exact"/>
      <w:ind w:right="1134"/>
    </w:pPr>
    <w:rPr>
      <w:b/>
      <w:sz w:val="28"/>
    </w:rPr>
  </w:style>
  <w:style w:type="paragraph" w:customStyle="1" w:styleId="AnnoH1G">
    <w:name w:val="Anno_ H_1_G"/>
    <w:basedOn w:val="Normal"/>
    <w:next w:val="AnnoH23G"/>
    <w:autoRedefine/>
    <w:rsid w:val="00FA1A46"/>
    <w:pPr>
      <w:keepNext/>
      <w:keepLines/>
      <w:numPr>
        <w:ilvl w:val="1"/>
        <w:numId w:val="13"/>
      </w:numPr>
      <w:spacing w:before="360" w:after="240" w:line="270" w:lineRule="exact"/>
      <w:ind w:right="1134"/>
    </w:pPr>
    <w:rPr>
      <w:b/>
      <w:sz w:val="24"/>
    </w:rPr>
  </w:style>
  <w:style w:type="paragraph" w:customStyle="1" w:styleId="AnnoH23G">
    <w:name w:val="Anno_ H_2/3_G"/>
    <w:basedOn w:val="Normal"/>
    <w:next w:val="AnnoSingleTxtG"/>
    <w:autoRedefine/>
    <w:rsid w:val="00FA1A46"/>
    <w:pPr>
      <w:keepNext/>
      <w:keepLines/>
      <w:numPr>
        <w:ilvl w:val="2"/>
        <w:numId w:val="13"/>
      </w:numPr>
      <w:spacing w:before="240" w:after="120" w:line="240" w:lineRule="exact"/>
      <w:ind w:right="1134"/>
    </w:pPr>
    <w:rPr>
      <w:u w:val="single"/>
    </w:rPr>
  </w:style>
  <w:style w:type="paragraph" w:customStyle="1" w:styleId="AnnoSingleTxtG">
    <w:name w:val="Anno_ Single Txt_G"/>
    <w:basedOn w:val="Normal"/>
    <w:rsid w:val="00FA1A46"/>
    <w:pPr>
      <w:numPr>
        <w:ilvl w:val="3"/>
        <w:numId w:val="13"/>
      </w:numPr>
      <w:spacing w:after="120"/>
      <w:ind w:right="1134"/>
      <w:jc w:val="both"/>
    </w:pPr>
  </w:style>
  <w:style w:type="character" w:styleId="FootnoteReference">
    <w:name w:val="footnote reference"/>
    <w:aliases w:val="4_G"/>
    <w:rsid w:val="00FA1A46"/>
    <w:rPr>
      <w:rFonts w:ascii="Times New Roman" w:hAnsi="Times New Roman"/>
      <w:sz w:val="18"/>
      <w:vertAlign w:val="superscript"/>
    </w:rPr>
  </w:style>
  <w:style w:type="character" w:styleId="EndnoteReference">
    <w:name w:val="endnote reference"/>
    <w:aliases w:val="1_G"/>
    <w:rsid w:val="001A6305"/>
    <w:rPr>
      <w:rFonts w:ascii="Times New Roman" w:hAnsi="Times New Roman"/>
      <w:i/>
      <w:sz w:val="18"/>
      <w:vertAlign w:val="superscript"/>
    </w:rPr>
  </w:style>
  <w:style w:type="paragraph" w:styleId="EndnoteText">
    <w:name w:val="endnote text"/>
    <w:aliases w:val="2_G"/>
    <w:basedOn w:val="FootnoteText"/>
    <w:rsid w:val="00A6472E"/>
    <w:rPr>
      <w:i/>
    </w:rPr>
  </w:style>
  <w:style w:type="paragraph" w:styleId="FootnoteText">
    <w:name w:val="footnote text"/>
    <w:aliases w:val="5_G"/>
    <w:basedOn w:val="Normal"/>
    <w:link w:val="FootnoteTextChar"/>
    <w:rsid w:val="00FA1A46"/>
    <w:pPr>
      <w:tabs>
        <w:tab w:val="right" w:pos="1021"/>
      </w:tabs>
      <w:spacing w:line="220" w:lineRule="exact"/>
      <w:ind w:left="1134" w:right="1134" w:hanging="1134"/>
    </w:pPr>
    <w:rPr>
      <w:sz w:val="18"/>
    </w:rPr>
  </w:style>
  <w:style w:type="paragraph" w:styleId="Footer">
    <w:name w:val="footer"/>
    <w:aliases w:val="3_G"/>
    <w:basedOn w:val="Normal"/>
    <w:link w:val="FooterChar"/>
    <w:uiPriority w:val="99"/>
    <w:rsid w:val="00FA1A46"/>
    <w:rPr>
      <w:sz w:val="16"/>
    </w:rPr>
  </w:style>
  <w:style w:type="paragraph" w:customStyle="1" w:styleId="FootnoteTable">
    <w:name w:val="Footnote Table"/>
    <w:basedOn w:val="Normal"/>
    <w:rsid w:val="004B02E4"/>
    <w:pPr>
      <w:spacing w:before="60" w:line="220" w:lineRule="atLeast"/>
      <w:contextualSpacing/>
      <w:jc w:val="both"/>
    </w:pPr>
    <w:rPr>
      <w:sz w:val="18"/>
    </w:rPr>
  </w:style>
  <w:style w:type="paragraph" w:styleId="Header">
    <w:name w:val="header"/>
    <w:aliases w:val="6_G"/>
    <w:basedOn w:val="Normal"/>
    <w:rsid w:val="00FA1A46"/>
    <w:pPr>
      <w:pBdr>
        <w:bottom w:val="single" w:sz="4" w:space="4" w:color="auto"/>
      </w:pBdr>
    </w:pPr>
    <w:rPr>
      <w:b/>
      <w:sz w:val="18"/>
    </w:rPr>
  </w:style>
  <w:style w:type="character" w:styleId="PageNumber">
    <w:name w:val="page number"/>
    <w:aliases w:val="7_G"/>
    <w:rsid w:val="00FA1A46"/>
    <w:rPr>
      <w:rFonts w:ascii="Times New Roman" w:hAnsi="Times New Roman"/>
      <w:b/>
      <w:sz w:val="18"/>
    </w:rPr>
  </w:style>
  <w:style w:type="paragraph" w:customStyle="1" w:styleId="RegHChG">
    <w:name w:val="Reg_H__Ch_G"/>
    <w:basedOn w:val="Normal"/>
    <w:next w:val="RegH1G"/>
    <w:rsid w:val="00FA1A46"/>
    <w:pPr>
      <w:keepNext/>
      <w:keepLines/>
      <w:numPr>
        <w:numId w:val="21"/>
      </w:numPr>
      <w:spacing w:before="360" w:after="240" w:line="300" w:lineRule="exact"/>
      <w:ind w:right="1134"/>
    </w:pPr>
    <w:rPr>
      <w:b/>
      <w:sz w:val="28"/>
    </w:rPr>
  </w:style>
  <w:style w:type="paragraph" w:customStyle="1" w:styleId="RegH1G">
    <w:name w:val="Reg_H_1_G"/>
    <w:basedOn w:val="Normal"/>
    <w:next w:val="RegH23G"/>
    <w:rsid w:val="00FA1A46"/>
    <w:pPr>
      <w:keepNext/>
      <w:keepLines/>
      <w:numPr>
        <w:ilvl w:val="1"/>
        <w:numId w:val="21"/>
      </w:numPr>
      <w:tabs>
        <w:tab w:val="clear" w:pos="1135"/>
        <w:tab w:val="num" w:pos="360"/>
      </w:tabs>
      <w:spacing w:before="360" w:after="240" w:line="270" w:lineRule="exact"/>
      <w:ind w:left="0" w:right="1134" w:firstLine="0"/>
    </w:pPr>
    <w:rPr>
      <w:b/>
      <w:sz w:val="24"/>
    </w:rPr>
  </w:style>
  <w:style w:type="paragraph" w:customStyle="1" w:styleId="RegH23G">
    <w:name w:val="Reg_H_2/3_G"/>
    <w:basedOn w:val="Normal"/>
    <w:next w:val="RegH4G"/>
    <w:rsid w:val="00FA1A46"/>
    <w:pPr>
      <w:keepNext/>
      <w:keepLines/>
      <w:numPr>
        <w:ilvl w:val="2"/>
        <w:numId w:val="21"/>
      </w:numPr>
      <w:spacing w:before="240" w:after="120" w:line="240" w:lineRule="exact"/>
      <w:ind w:right="1134"/>
    </w:pPr>
    <w:rPr>
      <w:b/>
    </w:rPr>
  </w:style>
  <w:style w:type="paragraph" w:customStyle="1" w:styleId="RegSingleTxtG">
    <w:name w:val="Reg_Single Txt_G"/>
    <w:basedOn w:val="Normal"/>
    <w:link w:val="RegSingleTxtGChar"/>
    <w:rsid w:val="00FA1A46"/>
    <w:pPr>
      <w:numPr>
        <w:ilvl w:val="5"/>
        <w:numId w:val="21"/>
      </w:numPr>
      <w:tabs>
        <w:tab w:val="left" w:pos="1701"/>
      </w:tabs>
      <w:spacing w:after="120"/>
      <w:ind w:right="1134"/>
      <w:jc w:val="both"/>
    </w:pPr>
  </w:style>
  <w:style w:type="paragraph" w:styleId="TOC1">
    <w:name w:val="toc 1"/>
    <w:basedOn w:val="Normal"/>
    <w:next w:val="Normal"/>
    <w:autoRedefine/>
    <w:uiPriority w:val="39"/>
    <w:rsid w:val="007E4210"/>
    <w:pPr>
      <w:tabs>
        <w:tab w:val="right" w:pos="851"/>
        <w:tab w:val="left" w:pos="1134"/>
        <w:tab w:val="left" w:pos="1559"/>
        <w:tab w:val="left" w:pos="1985"/>
        <w:tab w:val="right" w:leader="dot" w:pos="8930"/>
        <w:tab w:val="right" w:pos="9639"/>
      </w:tabs>
      <w:spacing w:after="120"/>
    </w:pPr>
    <w:rPr>
      <w:noProof/>
    </w:rPr>
  </w:style>
  <w:style w:type="paragraph" w:styleId="TOC2">
    <w:name w:val="toc 2"/>
    <w:basedOn w:val="Normal"/>
    <w:next w:val="Normal"/>
    <w:autoRedefine/>
    <w:uiPriority w:val="39"/>
    <w:rsid w:val="00F36846"/>
    <w:pPr>
      <w:tabs>
        <w:tab w:val="right" w:pos="851"/>
        <w:tab w:val="left" w:pos="1134"/>
        <w:tab w:val="left" w:pos="1559"/>
        <w:tab w:val="left" w:pos="1985"/>
        <w:tab w:val="center" w:leader="dot" w:pos="8930"/>
        <w:tab w:val="right" w:pos="9639"/>
      </w:tabs>
      <w:spacing w:after="120"/>
    </w:pPr>
  </w:style>
  <w:style w:type="paragraph" w:styleId="TOC3">
    <w:name w:val="toc 3"/>
    <w:basedOn w:val="Normal"/>
    <w:next w:val="Normal"/>
    <w:autoRedefine/>
    <w:semiHidden/>
    <w:rsid w:val="00FA1A46"/>
    <w:pPr>
      <w:tabs>
        <w:tab w:val="right" w:pos="851"/>
        <w:tab w:val="left" w:pos="1134"/>
        <w:tab w:val="left" w:pos="1559"/>
        <w:tab w:val="left" w:pos="1985"/>
        <w:tab w:val="left" w:leader="dot" w:pos="7655"/>
        <w:tab w:val="right" w:pos="8930"/>
        <w:tab w:val="right" w:pos="9639"/>
      </w:tabs>
      <w:spacing w:after="120"/>
    </w:pPr>
  </w:style>
  <w:style w:type="paragraph" w:styleId="BalloonText">
    <w:name w:val="Balloon Text"/>
    <w:basedOn w:val="Normal"/>
    <w:link w:val="BalloonTextChar"/>
    <w:rsid w:val="00FA1A46"/>
    <w:pPr>
      <w:spacing w:line="240" w:lineRule="auto"/>
    </w:pPr>
    <w:rPr>
      <w:rFonts w:ascii="Tahoma" w:hAnsi="Tahoma" w:cs="Tahoma"/>
      <w:sz w:val="16"/>
      <w:szCs w:val="16"/>
    </w:rPr>
  </w:style>
  <w:style w:type="character" w:customStyle="1" w:styleId="BalloonTextChar">
    <w:name w:val="Balloon Text Char"/>
    <w:link w:val="BalloonText"/>
    <w:rsid w:val="00FA1A46"/>
    <w:rPr>
      <w:rFonts w:ascii="Tahoma" w:eastAsia="SimSun" w:hAnsi="Tahoma" w:cs="Tahoma"/>
      <w:sz w:val="16"/>
      <w:szCs w:val="16"/>
      <w:lang w:val="en-GB" w:eastAsia="zh-CN"/>
    </w:rPr>
  </w:style>
  <w:style w:type="paragraph" w:styleId="ListParagraph">
    <w:name w:val="List Paragraph"/>
    <w:basedOn w:val="Normal"/>
    <w:uiPriority w:val="34"/>
    <w:qFormat/>
    <w:rsid w:val="00FA1A46"/>
    <w:pPr>
      <w:ind w:left="720"/>
      <w:contextualSpacing/>
    </w:pPr>
  </w:style>
  <w:style w:type="character" w:customStyle="1" w:styleId="Heading2Char">
    <w:name w:val="Heading 2 Char"/>
    <w:link w:val="Heading2"/>
    <w:rsid w:val="00FA1A46"/>
    <w:rPr>
      <w:rFonts w:ascii="Cambria" w:hAnsi="Cambria"/>
      <w:b/>
      <w:bCs/>
      <w:color w:val="4F81BD"/>
      <w:sz w:val="26"/>
      <w:szCs w:val="26"/>
      <w:lang w:val="en-GB" w:eastAsia="zh-CN"/>
    </w:rPr>
  </w:style>
  <w:style w:type="character" w:customStyle="1" w:styleId="Heading4Char">
    <w:name w:val="Heading 4 Char"/>
    <w:link w:val="Heading4"/>
    <w:rsid w:val="00FA1A46"/>
    <w:rPr>
      <w:rFonts w:ascii="Cambria" w:hAnsi="Cambria"/>
      <w:b/>
      <w:bCs/>
      <w:i/>
      <w:iCs/>
      <w:color w:val="4F81BD"/>
      <w:lang w:val="en-GB" w:eastAsia="zh-CN"/>
    </w:rPr>
  </w:style>
  <w:style w:type="character" w:customStyle="1" w:styleId="Heading5Char">
    <w:name w:val="Heading 5 Char"/>
    <w:link w:val="Heading5"/>
    <w:rsid w:val="00FA1A46"/>
    <w:rPr>
      <w:rFonts w:ascii="Cambria" w:hAnsi="Cambria"/>
      <w:color w:val="243F60"/>
      <w:lang w:val="en-GB" w:eastAsia="zh-CN"/>
    </w:rPr>
  </w:style>
  <w:style w:type="paragraph" w:customStyle="1" w:styleId="ListParagraphforAnnexes">
    <w:name w:val="List Paragraph for Annexes"/>
    <w:basedOn w:val="ListParagraph"/>
    <w:qFormat/>
    <w:rsid w:val="00FA1A46"/>
    <w:pPr>
      <w:spacing w:before="120" w:after="120" w:line="240" w:lineRule="exact"/>
      <w:contextualSpacing w:val="0"/>
    </w:pPr>
  </w:style>
  <w:style w:type="paragraph" w:customStyle="1" w:styleId="RegH4G">
    <w:name w:val="Reg_H_4_G"/>
    <w:basedOn w:val="RegH23G"/>
    <w:next w:val="RegH5G"/>
    <w:qFormat/>
    <w:rsid w:val="00FA1A46"/>
    <w:pPr>
      <w:numPr>
        <w:ilvl w:val="3"/>
      </w:numPr>
    </w:pPr>
  </w:style>
  <w:style w:type="paragraph" w:customStyle="1" w:styleId="RegH5G">
    <w:name w:val="Reg_H_5_G"/>
    <w:basedOn w:val="RegH4G"/>
    <w:qFormat/>
    <w:rsid w:val="00FA1A46"/>
    <w:pPr>
      <w:numPr>
        <w:ilvl w:val="4"/>
      </w:numPr>
    </w:pPr>
    <w:rPr>
      <w:b w:val="0"/>
      <w:i/>
    </w:rPr>
  </w:style>
  <w:style w:type="paragraph" w:customStyle="1" w:styleId="TableFootnote">
    <w:name w:val="TableFootnote"/>
    <w:basedOn w:val="FootnoteTable"/>
    <w:qFormat/>
    <w:rsid w:val="00FA1A46"/>
    <w:pPr>
      <w:ind w:left="1134" w:right="1134" w:firstLine="170"/>
      <w:jc w:val="left"/>
    </w:pPr>
  </w:style>
  <w:style w:type="paragraph" w:customStyle="1" w:styleId="RegSingleTxtG2">
    <w:name w:val="Reg_Single Txt_G2"/>
    <w:basedOn w:val="RegSingleTxtG"/>
    <w:qFormat/>
    <w:rsid w:val="00FA1A46"/>
    <w:pPr>
      <w:numPr>
        <w:ilvl w:val="6"/>
      </w:numPr>
      <w:tabs>
        <w:tab w:val="clear" w:pos="1702"/>
      </w:tabs>
    </w:pPr>
  </w:style>
  <w:style w:type="paragraph" w:customStyle="1" w:styleId="RegSingleTxtG3">
    <w:name w:val="Reg_Single Txt_G3"/>
    <w:basedOn w:val="RegSingleTxtG"/>
    <w:qFormat/>
    <w:rsid w:val="00FA1A46"/>
    <w:pPr>
      <w:numPr>
        <w:ilvl w:val="7"/>
      </w:numPr>
    </w:pPr>
  </w:style>
  <w:style w:type="paragraph" w:customStyle="1" w:styleId="AtxtHdgs">
    <w:name w:val="Atxt_Hdgs"/>
    <w:basedOn w:val="Normal"/>
    <w:rsid w:val="00FA1A46"/>
    <w:pPr>
      <w:suppressAutoHyphens w:val="0"/>
      <w:spacing w:line="240" w:lineRule="auto"/>
      <w:jc w:val="center"/>
    </w:pPr>
    <w:rPr>
      <w:rFonts w:eastAsia="Times New Roman"/>
      <w:sz w:val="24"/>
      <w:lang w:eastAsia="en-US"/>
    </w:rPr>
  </w:style>
  <w:style w:type="paragraph" w:styleId="Caption">
    <w:name w:val="caption"/>
    <w:basedOn w:val="Normal"/>
    <w:next w:val="Normal"/>
    <w:unhideWhenUsed/>
    <w:qFormat/>
    <w:rsid w:val="00FA1A46"/>
    <w:rPr>
      <w:b/>
      <w:bCs/>
    </w:rPr>
  </w:style>
  <w:style w:type="paragraph" w:styleId="TOC4">
    <w:name w:val="toc 4"/>
    <w:basedOn w:val="Normal"/>
    <w:next w:val="Normal"/>
    <w:autoRedefine/>
    <w:semiHidden/>
    <w:unhideWhenUsed/>
    <w:rsid w:val="00FA1A46"/>
    <w:pPr>
      <w:ind w:left="600"/>
    </w:pPr>
  </w:style>
  <w:style w:type="paragraph" w:styleId="TOC5">
    <w:name w:val="toc 5"/>
    <w:basedOn w:val="Normal"/>
    <w:next w:val="Normal"/>
    <w:autoRedefine/>
    <w:semiHidden/>
    <w:unhideWhenUsed/>
    <w:rsid w:val="00FA1A46"/>
    <w:pPr>
      <w:ind w:left="800"/>
    </w:pPr>
  </w:style>
  <w:style w:type="paragraph" w:styleId="TOC6">
    <w:name w:val="toc 6"/>
    <w:basedOn w:val="Normal"/>
    <w:next w:val="Normal"/>
    <w:autoRedefine/>
    <w:semiHidden/>
    <w:unhideWhenUsed/>
    <w:rsid w:val="00FA1A46"/>
    <w:pPr>
      <w:ind w:left="1000"/>
    </w:pPr>
  </w:style>
  <w:style w:type="paragraph" w:styleId="TOC7">
    <w:name w:val="toc 7"/>
    <w:basedOn w:val="Normal"/>
    <w:next w:val="Normal"/>
    <w:autoRedefine/>
    <w:semiHidden/>
    <w:unhideWhenUsed/>
    <w:rsid w:val="00FA1A46"/>
    <w:pPr>
      <w:ind w:left="1200"/>
    </w:pPr>
  </w:style>
  <w:style w:type="paragraph" w:styleId="TOC8">
    <w:name w:val="toc 8"/>
    <w:basedOn w:val="Normal"/>
    <w:next w:val="Normal"/>
    <w:autoRedefine/>
    <w:semiHidden/>
    <w:unhideWhenUsed/>
    <w:rsid w:val="00FA1A46"/>
    <w:pPr>
      <w:ind w:left="1400"/>
    </w:pPr>
  </w:style>
  <w:style w:type="paragraph" w:styleId="TOC9">
    <w:name w:val="toc 9"/>
    <w:basedOn w:val="Normal"/>
    <w:next w:val="Normal"/>
    <w:autoRedefine/>
    <w:semiHidden/>
    <w:unhideWhenUsed/>
    <w:rsid w:val="00FA1A46"/>
    <w:pPr>
      <w:ind w:left="1600"/>
    </w:pPr>
  </w:style>
  <w:style w:type="paragraph" w:customStyle="1" w:styleId="FC1">
    <w:name w:val="FC1"/>
    <w:basedOn w:val="RegSingleTxtG"/>
    <w:link w:val="FC1Char"/>
    <w:qFormat/>
    <w:rsid w:val="00FA1A46"/>
    <w:pPr>
      <w:numPr>
        <w:ilvl w:val="0"/>
        <w:numId w:val="0"/>
      </w:numPr>
      <w:ind w:left="1134"/>
      <w:jc w:val="left"/>
    </w:pPr>
  </w:style>
  <w:style w:type="paragraph" w:customStyle="1" w:styleId="SourcesFootnote">
    <w:name w:val="SourcesFootnote"/>
    <w:basedOn w:val="TableFootnote"/>
    <w:qFormat/>
    <w:rsid w:val="00FA1A46"/>
    <w:rPr>
      <w:i/>
    </w:rPr>
  </w:style>
  <w:style w:type="paragraph" w:customStyle="1" w:styleId="FC2">
    <w:name w:val="FC2"/>
    <w:basedOn w:val="FC1"/>
    <w:link w:val="FC2Char"/>
    <w:qFormat/>
    <w:rsid w:val="00FA1A46"/>
    <w:pPr>
      <w:keepNext/>
    </w:pPr>
  </w:style>
  <w:style w:type="numbering" w:customStyle="1" w:styleId="FCCCBoxfootnote">
    <w:name w:val="FCCC_Box_footnote"/>
    <w:uiPriority w:val="99"/>
    <w:rsid w:val="00E50AEE"/>
    <w:pPr>
      <w:numPr>
        <w:numId w:val="5"/>
      </w:numPr>
    </w:pPr>
  </w:style>
  <w:style w:type="numbering" w:customStyle="1" w:styleId="FCCCTextboxfootnote">
    <w:name w:val="FCCC Textbox footnote"/>
    <w:uiPriority w:val="99"/>
    <w:rsid w:val="00FC386E"/>
    <w:pPr>
      <w:numPr>
        <w:numId w:val="6"/>
      </w:numPr>
    </w:pPr>
  </w:style>
  <w:style w:type="numbering" w:customStyle="1" w:styleId="FigureFootnote">
    <w:name w:val="Figure Footnote"/>
    <w:uiPriority w:val="99"/>
    <w:rsid w:val="00FE622D"/>
    <w:pPr>
      <w:numPr>
        <w:numId w:val="7"/>
      </w:numPr>
    </w:pPr>
  </w:style>
  <w:style w:type="table" w:styleId="TableGrid">
    <w:name w:val="Table Grid"/>
    <w:basedOn w:val="TableNormal"/>
    <w:rsid w:val="00384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EndnoteReference1GNotItalic">
    <w:name w:val="Style Endnote Reference1_G + Not Italic"/>
    <w:basedOn w:val="EndnoteReference"/>
    <w:rsid w:val="001C3F2F"/>
    <w:rPr>
      <w:rFonts w:ascii="Times New Roman" w:hAnsi="Times New Roman"/>
      <w:i/>
      <w:sz w:val="18"/>
      <w:vertAlign w:val="superscript"/>
    </w:rPr>
  </w:style>
  <w:style w:type="paragraph" w:customStyle="1" w:styleId="AgendaItemHeading">
    <w:name w:val="AgendaItemHeading"/>
    <w:basedOn w:val="Normal"/>
    <w:qFormat/>
    <w:rsid w:val="00656011"/>
    <w:pPr>
      <w:ind w:left="-105"/>
    </w:pPr>
    <w:rPr>
      <w:bCs/>
    </w:rPr>
  </w:style>
  <w:style w:type="paragraph" w:customStyle="1" w:styleId="BodyHeading">
    <w:name w:val="BodyHeading"/>
    <w:basedOn w:val="Normal"/>
    <w:qFormat/>
    <w:rsid w:val="00656011"/>
    <w:pPr>
      <w:spacing w:before="120"/>
      <w:ind w:left="-105"/>
    </w:pPr>
    <w:rPr>
      <w:b/>
      <w:sz w:val="24"/>
      <w:szCs w:val="24"/>
    </w:rPr>
  </w:style>
  <w:style w:type="paragraph" w:customStyle="1" w:styleId="MainTitle">
    <w:name w:val="MainTitle"/>
    <w:basedOn w:val="HChG"/>
    <w:qFormat/>
    <w:rsid w:val="00DB53A4"/>
  </w:style>
  <w:style w:type="paragraph" w:customStyle="1" w:styleId="MainSubTitle">
    <w:name w:val="MainSubTitle"/>
    <w:basedOn w:val="H1G"/>
    <w:qFormat/>
    <w:rsid w:val="00DB53A4"/>
  </w:style>
  <w:style w:type="paragraph" w:customStyle="1" w:styleId="AddendumSubTitle">
    <w:name w:val="AddendumSubTitle"/>
    <w:basedOn w:val="H1G"/>
    <w:qFormat/>
    <w:rsid w:val="00731509"/>
  </w:style>
  <w:style w:type="paragraph" w:customStyle="1" w:styleId="AddendumTitle">
    <w:name w:val="AddendumTitle"/>
    <w:basedOn w:val="H1G"/>
    <w:qFormat/>
    <w:rsid w:val="00DB53A4"/>
  </w:style>
  <w:style w:type="character" w:styleId="Hyperlink">
    <w:name w:val="Hyperlink"/>
    <w:basedOn w:val="DefaultParagraphFont"/>
    <w:unhideWhenUsed/>
    <w:rsid w:val="008C63F8"/>
    <w:rPr>
      <w:color w:val="0563C1"/>
      <w:u w:val="single"/>
    </w:rPr>
  </w:style>
  <w:style w:type="table" w:customStyle="1" w:styleId="NomenclatureTable">
    <w:name w:val="Nomenclature_Table"/>
    <w:basedOn w:val="TableNormal"/>
    <w:uiPriority w:val="99"/>
    <w:rsid w:val="0066590C"/>
    <w:pPr>
      <w:spacing w:before="40" w:after="80" w:line="240" w:lineRule="exact"/>
    </w:pPr>
    <w:tblPr>
      <w:jc w:val="center"/>
      <w:tblBorders>
        <w:top w:val="single" w:sz="4" w:space="0" w:color="auto"/>
        <w:bottom w:val="single" w:sz="4" w:space="0" w:color="auto"/>
      </w:tblBorders>
    </w:tblPr>
    <w:trPr>
      <w:jc w:val="center"/>
    </w:trPr>
    <w:tblStylePr w:type="firstRow">
      <w:tblPr/>
      <w:tcPr>
        <w:tcBorders>
          <w:bottom w:val="single" w:sz="12" w:space="0" w:color="auto"/>
        </w:tcBorders>
      </w:tcPr>
    </w:tblStylePr>
  </w:style>
  <w:style w:type="paragraph" w:customStyle="1" w:styleId="NomTableCaption">
    <w:name w:val="Nom_Table_Caption"/>
    <w:basedOn w:val="FC2"/>
    <w:link w:val="NomTableCaptionChar"/>
    <w:qFormat/>
    <w:rsid w:val="00B25C10"/>
  </w:style>
  <w:style w:type="paragraph" w:customStyle="1" w:styleId="NomTableTitle">
    <w:name w:val="Nom_Table_Title"/>
    <w:basedOn w:val="FC2"/>
    <w:link w:val="NomTableTitleChar"/>
    <w:qFormat/>
    <w:rsid w:val="00B25C10"/>
    <w:rPr>
      <w:b/>
    </w:rPr>
  </w:style>
  <w:style w:type="character" w:customStyle="1" w:styleId="RegSingleTxtGChar">
    <w:name w:val="Reg_Single Txt_G Char"/>
    <w:basedOn w:val="DefaultParagraphFont"/>
    <w:link w:val="RegSingleTxtG"/>
    <w:rsid w:val="00B25C10"/>
    <w:rPr>
      <w:rFonts w:eastAsia="SimSun"/>
      <w:lang w:val="en-GB" w:eastAsia="zh-CN"/>
    </w:rPr>
  </w:style>
  <w:style w:type="character" w:customStyle="1" w:styleId="FC1Char">
    <w:name w:val="FC1 Char"/>
    <w:basedOn w:val="RegSingleTxtGChar"/>
    <w:link w:val="FC1"/>
    <w:rsid w:val="00B25C10"/>
    <w:rPr>
      <w:rFonts w:eastAsia="SimSun"/>
      <w:lang w:val="en-GB" w:eastAsia="zh-CN"/>
    </w:rPr>
  </w:style>
  <w:style w:type="character" w:customStyle="1" w:styleId="FC2Char">
    <w:name w:val="FC2 Char"/>
    <w:basedOn w:val="FC1Char"/>
    <w:link w:val="FC2"/>
    <w:rsid w:val="00B25C10"/>
    <w:rPr>
      <w:rFonts w:eastAsia="SimSun"/>
      <w:lang w:val="en-GB" w:eastAsia="zh-CN"/>
    </w:rPr>
  </w:style>
  <w:style w:type="character" w:customStyle="1" w:styleId="NomTableCaptionChar">
    <w:name w:val="Nom_Table_Caption Char"/>
    <w:basedOn w:val="FC2Char"/>
    <w:link w:val="NomTableCaption"/>
    <w:rsid w:val="00B25C10"/>
    <w:rPr>
      <w:rFonts w:eastAsia="SimSun"/>
      <w:lang w:val="en-GB" w:eastAsia="zh-CN"/>
    </w:rPr>
  </w:style>
  <w:style w:type="character" w:customStyle="1" w:styleId="NomTableTitleChar">
    <w:name w:val="Nom_Table_Title Char"/>
    <w:basedOn w:val="FC2Char"/>
    <w:link w:val="NomTableTitle"/>
    <w:rsid w:val="00B25C10"/>
    <w:rPr>
      <w:rFonts w:eastAsia="SimSun"/>
      <w:b/>
      <w:lang w:val="en-GB" w:eastAsia="zh-CN"/>
    </w:rPr>
  </w:style>
  <w:style w:type="character" w:customStyle="1" w:styleId="FootnoteTextChar">
    <w:name w:val="Footnote Text Char"/>
    <w:aliases w:val="5_G Char"/>
    <w:basedOn w:val="DefaultParagraphFont"/>
    <w:link w:val="FootnoteText"/>
    <w:locked/>
    <w:rsid w:val="00530008"/>
    <w:rPr>
      <w:rFonts w:eastAsia="SimSun"/>
      <w:sz w:val="18"/>
      <w:lang w:val="en-GB" w:eastAsia="zh-CN"/>
    </w:rPr>
  </w:style>
  <w:style w:type="paragraph" w:customStyle="1" w:styleId="TitleForm">
    <w:name w:val="TitleForm"/>
    <w:basedOn w:val="Normal"/>
    <w:rsid w:val="00F155D2"/>
    <w:pPr>
      <w:suppressAutoHyphens w:val="0"/>
      <w:spacing w:line="240" w:lineRule="auto"/>
      <w:ind w:left="1077"/>
      <w:jc w:val="center"/>
    </w:pPr>
    <w:rPr>
      <w:rFonts w:ascii="Arial" w:eastAsia="MS Mincho" w:hAnsi="Arial" w:cs="Arial"/>
      <w:b/>
      <w:sz w:val="24"/>
      <w:szCs w:val="24"/>
      <w:lang w:eastAsia="en-US"/>
    </w:rPr>
  </w:style>
  <w:style w:type="character" w:customStyle="1" w:styleId="FooterChar">
    <w:name w:val="Footer Char"/>
    <w:basedOn w:val="DefaultParagraphFont"/>
    <w:link w:val="Footer"/>
    <w:uiPriority w:val="99"/>
    <w:rsid w:val="004160BF"/>
    <w:rPr>
      <w:rFonts w:eastAsia="SimSun"/>
      <w:sz w:val="16"/>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89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ial\Office14.UNFCCC\Templates\Word\FCC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656E9-91E6-42F3-B922-D2291B890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FCCC.dotm</Template>
  <TotalTime>11</TotalTime>
  <Pages>1</Pages>
  <Words>126</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lpstr>
    </vt:vector>
  </TitlesOfParts>
  <Company>UNFCCC</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Jean-Francois Halleux</dc:creator>
  <cp:keywords/>
  <dc:description>Updated for SB60</dc:description>
  <cp:lastModifiedBy>Jean-Francois Halleux</cp:lastModifiedBy>
  <cp:revision>6</cp:revision>
  <cp:lastPrinted>2022-09-19T09:19:00Z</cp:lastPrinted>
  <dcterms:created xsi:type="dcterms:W3CDTF">2025-01-28T08:38:00Z</dcterms:created>
  <dcterms:modified xsi:type="dcterms:W3CDTF">2025-01-31T19:10:00Z</dcterms:modified>
  <cp:category>UNFCCC Template 2024</cp:category>
  <cp:contentStatus/>
</cp:coreProperties>
</file>