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49(a)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49(b) below</w:t>
            </w:r>
          </w:p>
        </w:tc>
      </w:tr>
    </w:tbl>
    <w:p>
      <w:pPr>
        <w:spacing w:before="0" w:after="120"/>
      </w:pPr>
    </w:p>
    <w:p>
      <w:pPr>
        <w:spacing w:before="0" w:after="120"/>
        <w:ind w:left="1134"/>
      </w:pPr>
      <w:r>
        <w:t>Table 49(b)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50</w:t>
        <w:br/>
      </w:r>
      <w:r>
        <w:rPr>
          <w:b/>
        </w:rPr>
        <w:t>Originating Party Registry: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registry identifier of the registry that prepared the ITMO for first transfer.</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51(a)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51(b) below</w:t>
            </w:r>
          </w:p>
        </w:tc>
      </w:tr>
    </w:tbl>
    <w:p>
      <w:pPr>
        <w:spacing w:before="0" w:after="120"/>
      </w:pPr>
    </w:p>
    <w:p>
      <w:pPr>
        <w:spacing w:before="0" w:after="120"/>
        <w:ind w:left="1134"/>
      </w:pPr>
      <w:r>
        <w:t>Table 51(b)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52(a)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52(b) below</w:t>
            </w:r>
          </w:p>
        </w:tc>
      </w:tr>
    </w:tbl>
    <w:p>
      <w:pPr>
        <w:spacing w:before="0" w:after="120"/>
      </w:pPr>
    </w:p>
    <w:p>
      <w:pPr>
        <w:spacing w:before="0" w:after="120"/>
        <w:ind w:left="1134"/>
      </w:pPr>
      <w:r>
        <w:t>Table 52(b)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100</w:t>
            </w:r>
          </w:p>
        </w:tc>
        <w:tc>
          <w:tcPr>
            <w:tcW w:type="dxa" w:w="5669"/>
          </w:tcPr>
          <w:p>
            <w:pPr>
              <w:spacing w:before="40" w:after="80" w:lineRule="atLeast" w:line="240"/>
            </w:pPr>
            <w:r>
              <w:rPr>
                <w:sz w:val="20"/>
              </w:rPr>
              <w:t>Holding.</w:t>
              <w:br/>
              <w:t>Authorised MOs are registered to 100 Holding accounts.</w:t>
              <w:br/>
              <w:t>ITMOs are transferred to and from 100 Holding accounts.</w:t>
              <w:br/>
              <w:t>See decision 2/CMA.3, annex, para. 29.</w:t>
              <w:br/>
              <w:t>Note: if a participating Party registry requires Pending and/or Authorized entity holding accounts, or additional types of holding accounts, it is its responsibility to determine how it will identify these account subtypes within its registry, as long as it transfers ITMOs to and from other registries using 100 Holding accounts.</w:t>
              <w:br/>
              <w:t>Also, Pending, Holding, Party holding, Authorized entity holding, and Share of proceeds of adaptation accounts in the Art 6.4 mechanism registry are 100 Holding accounts from the point of view of these standards (see decision 3/CMA.3, annex, paras. 58, 60 and 63).</w:t>
            </w:r>
          </w:p>
        </w:tc>
      </w:tr>
      <w:tr>
        <w:tc>
          <w:tcPr>
            <w:tcW w:type="dxa" w:w="1701"/>
          </w:tcPr>
          <w:p>
            <w:pPr>
              <w:spacing w:before="40" w:after="80" w:lineRule="atLeast" w:line="240"/>
            </w:pPr>
            <w:r>
              <w:rPr>
                <w:sz w:val="20"/>
              </w:rPr>
              <w:t>200</w:t>
            </w:r>
          </w:p>
        </w:tc>
        <w:tc>
          <w:tcPr>
            <w:tcW w:type="dxa" w:w="5669"/>
          </w:tcPr>
          <w:p>
            <w:pPr>
              <w:spacing w:before="40" w:after="80" w:lineRule="atLeast" w:line="240"/>
            </w:pPr>
            <w:r>
              <w:rPr>
                <w:sz w:val="20"/>
              </w:rPr>
              <w:t>Use towards NCD.</w:t>
              <w:br/>
              <w:t>When an ITMO is used towards NDC, it is transferred from a 100 Holding account to a 200 Use towards NDC account located in the same registry.</w:t>
              <w:br/>
              <w:t>See decision 2/CMA.3, annex, para. 29.</w:t>
            </w:r>
          </w:p>
        </w:tc>
      </w:tr>
      <w:tr>
        <w:tc>
          <w:tcPr>
            <w:tcW w:type="dxa" w:w="1701"/>
          </w:tcPr>
          <w:p>
            <w:pPr>
              <w:spacing w:before="40" w:after="80" w:lineRule="atLeast" w:line="240"/>
            </w:pPr>
            <w:r>
              <w:rPr>
                <w:sz w:val="20"/>
              </w:rPr>
              <w:t>210</w:t>
            </w:r>
          </w:p>
        </w:tc>
        <w:tc>
          <w:tcPr>
            <w:tcW w:type="dxa" w:w="5669"/>
          </w:tcPr>
          <w:p>
            <w:pPr>
              <w:spacing w:before="40" w:after="80" w:lineRule="atLeast" w:line="240"/>
            </w:pPr>
            <w:r>
              <w:rPr>
                <w:sz w:val="20"/>
              </w:rPr>
              <w:t>Use towards international mitigation purposes (IMP).</w:t>
              <w:br/>
              <w:t>When an ITMO is used towards IMP, it is transferred from a 100 Holding account to a 210 Use towards international mitigation purposes (IMP) located in the same registry.</w:t>
              <w:br/>
              <w:t>See decision 2/CMA.3, annex, para. 29 and decision 4/CMA.6, annex, table 3, footnote u.</w:t>
            </w:r>
          </w:p>
        </w:tc>
      </w:tr>
      <w:tr>
        <w:tc>
          <w:tcPr>
            <w:tcW w:type="dxa" w:w="1701"/>
          </w:tcPr>
          <w:p>
            <w:pPr>
              <w:spacing w:before="40" w:after="80" w:lineRule="atLeast" w:line="240"/>
            </w:pPr>
            <w:r>
              <w:rPr>
                <w:sz w:val="20"/>
              </w:rPr>
              <w:t>300</w:t>
            </w:r>
          </w:p>
        </w:tc>
        <w:tc>
          <w:tcPr>
            <w:tcW w:type="dxa" w:w="5669"/>
          </w:tcPr>
          <w:p>
            <w:pPr>
              <w:spacing w:before="40" w:after="80" w:lineRule="atLeast" w:line="240"/>
            </w:pPr>
            <w:r>
              <w:rPr>
                <w:sz w:val="20"/>
              </w:rPr>
              <w:t>Cancellation for other purposes (OP).</w:t>
              <w:br/>
              <w:t>When an ITMO is cancelled for other purposes (OP), it is transferred from a 100 Holding account to a 300 Cancellation for other purposes (OP) account located in the same registry.</w:t>
              <w:br/>
              <w:t>See decision 2/CMA.3, annex, para. 29 and decision 4/CMA.6, annex, table 3, footnote u.</w:t>
            </w:r>
          </w:p>
        </w:tc>
      </w:tr>
      <w:tr>
        <w:tc>
          <w:tcPr>
            <w:tcW w:type="dxa" w:w="1701"/>
          </w:tcPr>
          <w:p>
            <w:pPr>
              <w:spacing w:before="40" w:after="80" w:lineRule="atLeast" w:line="240"/>
            </w:pPr>
            <w:r>
              <w:rPr>
                <w:sz w:val="20"/>
              </w:rPr>
              <w:t>310</w:t>
            </w:r>
          </w:p>
        </w:tc>
        <w:tc>
          <w:tcPr>
            <w:tcW w:type="dxa" w:w="5669"/>
          </w:tcPr>
          <w:p>
            <w:pPr>
              <w:spacing w:before="40" w:after="80" w:lineRule="atLeast" w:line="240"/>
            </w:pPr>
            <w:r>
              <w:rPr>
                <w:sz w:val="20"/>
              </w:rPr>
              <w:t>Voluntary cancellation of ITMOs not counted towards NDC or OIMP, for OMGE.</w:t>
              <w:br/>
              <w:t>When ITMOs not counted towards NDC or OIMP are voluntarily cancelled for OMGE, it is transferred from a 100 Holding account to a 310 Voluntary cancellation of ITMOs not counted towards NDC or OIMP, for OMGE, located in the same registry.</w:t>
              <w:br/>
              <w:t>See decision 2/CMA.3, annex, para. 39.</w:t>
            </w:r>
          </w:p>
        </w:tc>
      </w:tr>
      <w:tr>
        <w:tc>
          <w:tcPr>
            <w:tcW w:type="dxa" w:w="1701"/>
          </w:tcPr>
          <w:p>
            <w:pPr>
              <w:spacing w:before="40" w:after="80" w:lineRule="atLeast" w:line="240"/>
            </w:pPr>
            <w:r>
              <w:rPr>
                <w:sz w:val="20"/>
              </w:rPr>
              <w:t>320</w:t>
            </w:r>
          </w:p>
        </w:tc>
        <w:tc>
          <w:tcPr>
            <w:tcW w:type="dxa" w:w="5669"/>
          </w:tcPr>
          <w:p>
            <w:pPr>
              <w:spacing w:before="40" w:after="80" w:lineRule="atLeast" w:line="240"/>
            </w:pPr>
            <w:r>
              <w:rPr>
                <w:sz w:val="20"/>
              </w:rPr>
              <w:t>Voluntary cancellation.</w:t>
              <w:br/>
              <w:t>When an ITMO is cancelled voluntarily for another reason than the ones specified in account type 300, 310 and 330, it is transferred from a 100 Holding account to a 320 Voluntary cancellation account, account located in the same registry.</w:t>
              <w:br/>
              <w:t>See decision 2/CMA.3, annex, para. 29 and decision 3/CMA.3, annex, para. 61.</w:t>
            </w:r>
          </w:p>
        </w:tc>
      </w:tr>
      <w:tr>
        <w:tc>
          <w:tcPr>
            <w:tcW w:type="dxa" w:w="1701"/>
            <w:tcBorders>
              <w:bottom w:sz="12" w:val="single" w:color="#000000" w:space="0"/>
            </w:tcBorders>
          </w:tcPr>
          <w:p>
            <w:pPr>
              <w:spacing w:before="40" w:after="80" w:lineRule="atLeast" w:line="240"/>
            </w:pPr>
            <w:r>
              <w:rPr>
                <w:sz w:val="20"/>
              </w:rPr>
              <w:t>330</w:t>
            </w:r>
          </w:p>
        </w:tc>
        <w:tc>
          <w:tcPr>
            <w:tcW w:type="dxa" w:w="5669"/>
            <w:tcBorders>
              <w:bottom w:sz="12" w:val="single" w:color="#000000" w:space="0"/>
            </w:tcBorders>
          </w:tcPr>
          <w:p>
            <w:pPr>
              <w:spacing w:before="40" w:after="80" w:lineRule="atLeast" w:line="240"/>
            </w:pPr>
            <w:r>
              <w:rPr>
                <w:sz w:val="20"/>
              </w:rPr>
              <w:t>Administrative cancellation.</w:t>
              <w:br/>
              <w:t>When an ITMO is cancelled for administrative reasons, it is transferred from a 100 Holding account to a 330 Administrative cancellation account located in the same registry.</w:t>
              <w:br/>
              <w:t>See decision 2/CMA.3, annex, para. 29.</w:t>
            </w:r>
          </w:p>
        </w:tc>
      </w:tr>
    </w:tbl>
    <w:p>
      <w:pPr>
        <w:spacing w:before="0" w:after="120"/>
      </w:pPr>
    </w:p>
    <w:p>
      <w:pPr>
        <w:keepNext/>
        <w:spacing w:before="0" w:after="120"/>
        <w:ind w:left="1134"/>
      </w:pPr>
      <w:r>
        <w:t>Table 53(a)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53(b) below</w:t>
            </w:r>
          </w:p>
        </w:tc>
      </w:tr>
    </w:tbl>
    <w:p>
      <w:pPr>
        <w:spacing w:before="0" w:after="120"/>
      </w:pPr>
    </w:p>
    <w:p>
      <w:pPr>
        <w:spacing w:before="0" w:after="120"/>
        <w:ind w:left="1134"/>
      </w:pPr>
      <w:r>
        <w:t>Table 53(b)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w:t>
            </w:r>
          </w:p>
        </w:tc>
        <w:tc>
          <w:tcPr>
            <w:tcW w:type="dxa" w:w="5669"/>
          </w:tcPr>
          <w:p>
            <w:pPr>
              <w:spacing w:before="40" w:after="80" w:lineRule="atLeast" w:line="240"/>
            </w:pPr>
            <w:r>
              <w:rPr>
                <w:sz w:val="20"/>
              </w:rPr>
              <w:t>ITMO.</w:t>
              <w:br/>
              <w:t>Internationally Transferred Mitigation Outcome.</w:t>
              <w:br/>
              <w:t>Including authorized A6.4 ERs.</w:t>
              <w:br/>
              <w:t>Additional information of ITMOs are hosted in the CARP.</w:t>
            </w:r>
          </w:p>
        </w:tc>
      </w:tr>
      <w:tr>
        <w:tc>
          <w:tcPr>
            <w:tcW w:type="dxa" w:w="1701"/>
          </w:tcPr>
          <w:p>
            <w:pPr>
              <w:spacing w:before="40" w:after="80" w:lineRule="atLeast" w:line="240"/>
            </w:pPr>
            <w:r>
              <w:rPr>
                <w:sz w:val="20"/>
              </w:rPr>
              <w:t>2</w:t>
            </w:r>
          </w:p>
        </w:tc>
        <w:tc>
          <w:tcPr>
            <w:tcW w:type="dxa" w:w="5669"/>
          </w:tcPr>
          <w:p>
            <w:pPr>
              <w:spacing w:before="40" w:after="80" w:lineRule="atLeast" w:line="240"/>
            </w:pPr>
            <w:r>
              <w:rPr>
                <w:sz w:val="20"/>
              </w:rPr>
              <w:t>A6.4ER.</w:t>
              <w:br/>
              <w:t>Unauthorized A6.4 ER.</w:t>
              <w:br/>
              <w:t>Additional information of A6.4ERs are hosted in the Mechanism Registry.</w:t>
            </w:r>
          </w:p>
        </w:tc>
      </w:tr>
      <w:tr>
        <w:tc>
          <w:tcPr>
            <w:tcW w:type="dxa" w:w="1701"/>
          </w:tcPr>
          <w:p>
            <w:pPr>
              <w:spacing w:before="40" w:after="80" w:lineRule="atLeast" w:line="240"/>
            </w:pPr>
            <w:r>
              <w:rPr>
                <w:sz w:val="20"/>
              </w:rPr>
              <w:t>3</w:t>
            </w:r>
          </w:p>
        </w:tc>
        <w:tc>
          <w:tcPr>
            <w:tcW w:type="dxa" w:w="5669"/>
          </w:tcPr>
          <w:p>
            <w:pPr>
              <w:spacing w:before="40" w:after="80" w:lineRule="atLeast" w:line="240"/>
            </w:pPr>
            <w:r>
              <w:rPr>
                <w:sz w:val="20"/>
              </w:rPr>
              <w:t>MO.</w:t>
              <w:br/>
              <w:t>Unauthorised Mitigation Outcome.</w:t>
              <w:br/>
              <w:t>Unauthorised MOs are held in participating Party systems. These may be Party registries or registry sections provided by the International Registry.</w:t>
            </w:r>
          </w:p>
        </w:tc>
      </w:tr>
      <w:tr>
        <w:tc>
          <w:tcPr>
            <w:tcW w:type="dxa" w:w="1701"/>
          </w:tcPr>
          <w:p>
            <w:pPr>
              <w:spacing w:before="40" w:after="80" w:lineRule="atLeast" w:line="240"/>
            </w:pPr>
            <w:r>
              <w:rPr>
                <w:sz w:val="20"/>
              </w:rPr>
              <w:t>4</w:t>
            </w:r>
          </w:p>
        </w:tc>
        <w:tc>
          <w:tcPr>
            <w:tcW w:type="dxa" w:w="5669"/>
          </w:tcPr>
          <w:p>
            <w:pPr>
              <w:spacing w:before="40" w:after="80" w:lineRule="atLeast" w:line="240"/>
            </w:pPr>
            <w:r>
              <w:rPr>
                <w:sz w:val="20"/>
              </w:rPr>
              <w:t>AMO.</w:t>
              <w:br/>
              <w:t>Authorized Mitigation Outcome.</w:t>
              <w:br/>
              <w:t>Additional information of AMOs are hosted in the CARP.</w:t>
            </w:r>
          </w:p>
        </w:tc>
      </w:tr>
      <w:tr>
        <w:tc>
          <w:tcPr>
            <w:tcW w:type="dxa" w:w="1701"/>
          </w:tcPr>
          <w:p>
            <w:pPr>
              <w:spacing w:before="40" w:after="80" w:lineRule="atLeast" w:line="240"/>
            </w:pPr>
            <w:r>
              <w:rPr>
                <w:sz w:val="20"/>
              </w:rPr>
              <w:t>5</w:t>
            </w:r>
          </w:p>
        </w:tc>
        <w:tc>
          <w:tcPr>
            <w:tcW w:type="dxa" w:w="5669"/>
          </w:tcPr>
          <w:p>
            <w:pPr>
              <w:spacing w:before="40" w:after="80" w:lineRule="atLeast" w:line="240"/>
            </w:pPr>
            <w:r>
              <w:rPr>
                <w:sz w:val="20"/>
              </w:rPr>
              <w:t>CER.</w:t>
              <w:br/>
              <w:t>Article 6.4 Emission Reduction Unit from Certified Emission Reduction.</w:t>
              <w:br/>
              <w:t>Additional information of CERs are hosted in the Mechanism Registry.</w:t>
            </w:r>
          </w:p>
        </w:tc>
      </w:tr>
      <w:tr>
        <w:tc>
          <w:tcPr>
            <w:tcW w:type="dxa" w:w="1701"/>
            <w:tcBorders>
              <w:bottom w:sz="12" w:val="single" w:color="#000000" w:space="0"/>
            </w:tcBorders>
          </w:tcPr>
          <w:p>
            <w:pPr>
              <w:spacing w:before="40" w:after="80" w:lineRule="atLeast" w:line="240"/>
            </w:pPr>
            <w:r>
              <w:rPr>
                <w:sz w:val="20"/>
              </w:rPr>
              <w:t>6</w:t>
            </w:r>
          </w:p>
        </w:tc>
        <w:tc>
          <w:tcPr>
            <w:tcW w:type="dxa" w:w="5669"/>
            <w:tcBorders>
              <w:bottom w:sz="12" w:val="single" w:color="#000000" w:space="0"/>
            </w:tcBorders>
          </w:tcPr>
          <w:p>
            <w:pPr>
              <w:spacing w:before="40" w:after="80" w:lineRule="atLeast" w:line="240"/>
            </w:pPr>
            <w:r>
              <w:rPr>
                <w:sz w:val="20"/>
              </w:rPr>
              <w:t>MCU.</w:t>
              <w:br/>
              <w:t>Migration Contribution Units.</w:t>
              <w:br/>
              <w:t>Additional information of MCUs are hosted in the Mechanism Registry.</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