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are defined:</w:t>
              <w:br/>
              <w:t>- XEU - for the European Union, and</w:t>
              <w:br/>
              <w:t>- XMR - for the Article 6.4 Mechanism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"CANNNNNN" where the "CA" is the fixed prefix, and NNNNNN is a six-digit integer, that shall be incremented by one for each additional agreed cooperative approach, and added to this common nomenclature.</w:t>
              <w:br/>
              <w:t>Note that previously a defined format of Cooperative Approach ID was "CANNNN" with a four-digit integer.  As such,</w:t>
              <w:br/>
              <w:t>- Cooperative Approach IDs with four-digits will continue to be recognised, and</w:t>
              <w:br/>
              <w:t>- Cooperative Approach IDs with four-digits and those with six-digits with the same integer values are considered identical.  For example "CA0001" and "CA000001" are considered identical.</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17(j)</w:t>
              <w:br/>
              <w:t>Decision 6/CMA.4, Annex VII</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registered the unit (as an authorised mitigation outcome).</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Use towards NCD.</w:t>
              <w:b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w:t>
            </w:r>
          </w:p>
        </w:tc>
        <w:tc>
          <w:tcPr>
            <w:tcW w:type="dxa" w:w="5669"/>
          </w:tcPr>
          <w:p>
            <w:pPr>
              <w:spacing w:before="40" w:after="80" w:lineRule="atLeast" w:line="240"/>
            </w:pPr>
            <w:r>
              <w:rPr>
                <w:sz w:val="20"/>
              </w:rPr>
              <w:t>Use towards international mitigation purposes (IMP).</w:t>
              <w:b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Cancellation for other purposes (OP).</w:t>
              <w:b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w:t>
            </w:r>
          </w:p>
        </w:tc>
        <w:tc>
          <w:tcPr>
            <w:tcW w:type="dxa" w:w="5669"/>
          </w:tcPr>
          <w:p>
            <w:pPr>
              <w:spacing w:before="40" w:after="80" w:lineRule="atLeast" w:line="240"/>
            </w:pPr>
            <w:r>
              <w:rPr>
                <w:sz w:val="20"/>
              </w:rPr>
              <w:t>Voluntary cancellation of ITMOs not counted towards NDC or OIMP, for OMGE.</w:t>
              <w:b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w:t>
            </w:r>
          </w:p>
        </w:tc>
        <w:tc>
          <w:tcPr>
            <w:tcW w:type="dxa" w:w="5669"/>
          </w:tcPr>
          <w:p>
            <w:pPr>
              <w:spacing w:before="40" w:after="80" w:lineRule="atLeast" w:line="240"/>
            </w:pPr>
            <w:r>
              <w:rPr>
                <w:sz w:val="20"/>
              </w:rPr>
              <w:t>Voluntary cancellation.</w:t>
              <w:b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w:t>
            </w:r>
          </w:p>
        </w:tc>
        <w:tc>
          <w:tcPr>
            <w:tcW w:type="dxa" w:w="5669"/>
            <w:tcBorders>
              <w:bottom w:sz="12" w:val="single" w:color="#000000" w:space="0"/>
            </w:tcBorders>
          </w:tcPr>
          <w:p>
            <w:pPr>
              <w:spacing w:before="40" w:after="80" w:lineRule="atLeast" w:line="240"/>
            </w:pPr>
            <w:r>
              <w:rPr>
                <w:sz w:val="20"/>
              </w:rPr>
              <w:t>Administrative cancellation.</w:t>
              <w:b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w:t>
            </w:r>
          </w:p>
        </w:tc>
        <w:tc>
          <w:tcPr>
            <w:tcW w:type="dxa" w:w="5669"/>
          </w:tcPr>
          <w:p>
            <w:pPr>
              <w:spacing w:before="40" w:after="80" w:lineRule="atLeast" w:line="240"/>
            </w:pPr>
            <w:r>
              <w:rPr>
                <w:sz w:val="20"/>
              </w:rPr>
              <w:t>ITMO</w:t>
              <w:br/>
              <w:t>Internationally Transferred Mitigation Outcome, including authorized A6.4 ERs.</w:t>
              <w:br/>
              <w:t>Additional information of ITMOs are hosted in the CARP.</w:t>
            </w:r>
          </w:p>
        </w:tc>
      </w:tr>
      <w:tr>
        <w:tc>
          <w:tcPr>
            <w:tcW w:type="dxa" w:w="1701"/>
          </w:tcPr>
          <w:p>
            <w:pPr>
              <w:spacing w:before="40" w:after="80" w:lineRule="atLeast" w:line="240"/>
            </w:pPr>
            <w:r>
              <w:rPr>
                <w:sz w:val="20"/>
              </w:rPr>
              <w:t>2</w:t>
            </w:r>
          </w:p>
        </w:tc>
        <w:tc>
          <w:tcPr>
            <w:tcW w:type="dxa" w:w="5669"/>
          </w:tcPr>
          <w:p>
            <w:pPr>
              <w:spacing w:before="40" w:after="80" w:lineRule="atLeast" w:line="240"/>
            </w:pPr>
            <w:r>
              <w:rPr>
                <w:sz w:val="20"/>
              </w:rPr>
              <w:t>Unauthorized A6.4ER</w:t>
              <w:br/>
              <w:t>Unauthorized Article 6.4 Emission Reduction.</w:t>
              <w:br/>
              <w:t>Additional information of A6.4ERs are hosted in the Mechanism Registry.</w:t>
            </w:r>
          </w:p>
        </w:tc>
      </w:tr>
      <w:tr>
        <w:tc>
          <w:tcPr>
            <w:tcW w:type="dxa" w:w="1701"/>
          </w:tcPr>
          <w:p>
            <w:pPr>
              <w:spacing w:before="40" w:after="80" w:lineRule="atLeast" w:line="240"/>
            </w:pPr>
            <w:r>
              <w:rPr>
                <w:sz w:val="20"/>
              </w:rPr>
              <w:t>3</w:t>
            </w:r>
          </w:p>
        </w:tc>
        <w:tc>
          <w:tcPr>
            <w:tcW w:type="dxa" w:w="5669"/>
          </w:tcPr>
          <w:p>
            <w:pPr>
              <w:spacing w:before="40" w:after="80" w:lineRule="atLeast" w:line="240"/>
            </w:pPr>
            <w:r>
              <w:rPr>
                <w:sz w:val="20"/>
              </w:rPr>
              <w:t>Mitigation Outcome (before authorization)</w:t>
              <w:br/>
              <w:t>Unauthorised Mitigation Outcome.</w:t>
            </w:r>
          </w:p>
        </w:tc>
      </w:tr>
      <w:tr>
        <w:tc>
          <w:tcPr>
            <w:tcW w:type="dxa" w:w="1701"/>
          </w:tcPr>
          <w:p>
            <w:pPr>
              <w:spacing w:before="40" w:after="80" w:lineRule="atLeast" w:line="240"/>
            </w:pPr>
            <w:r>
              <w:rPr>
                <w:sz w:val="20"/>
              </w:rPr>
              <w:t>4</w:t>
            </w:r>
          </w:p>
        </w:tc>
        <w:tc>
          <w:tcPr>
            <w:tcW w:type="dxa" w:w="5669"/>
          </w:tcPr>
          <w:p>
            <w:pPr>
              <w:spacing w:before="40" w:after="80" w:lineRule="atLeast" w:line="240"/>
            </w:pPr>
            <w:r>
              <w:rPr>
                <w:sz w:val="20"/>
              </w:rPr>
              <w:t>AMO</w:t>
              <w:br/>
              <w:t>Authorized Mitigation Outcome.</w:t>
              <w:br/>
              <w:t>Additional information of AMOs are hosted in the CARP.</w:t>
            </w:r>
          </w:p>
        </w:tc>
      </w:tr>
      <w:tr>
        <w:tc>
          <w:tcPr>
            <w:tcW w:type="dxa" w:w="1701"/>
          </w:tcPr>
          <w:p>
            <w:pPr>
              <w:spacing w:before="40" w:after="80" w:lineRule="atLeast" w:line="240"/>
            </w:pPr>
            <w:r>
              <w:rPr>
                <w:sz w:val="20"/>
              </w:rPr>
              <w:t>5</w:t>
            </w:r>
          </w:p>
        </w:tc>
        <w:tc>
          <w:tcPr>
            <w:tcW w:type="dxa" w:w="5669"/>
          </w:tcPr>
          <w:p>
            <w:pPr>
              <w:spacing w:before="40" w:after="80" w:lineRule="atLeast" w:line="240"/>
            </w:pPr>
            <w:r>
              <w:rPr>
                <w:sz w:val="20"/>
              </w:rPr>
              <w:t>CER</w:t>
              <w:br/>
              <w:t>Article 6.4 Emission Reduction Unit from Certified Emission Reduction.</w:t>
              <w:br/>
              <w:t>Additional information of CERs are hosted in the Mechanism Registry.</w:t>
            </w:r>
          </w:p>
        </w:tc>
      </w:tr>
      <w:tr>
        <w:tc>
          <w:tcPr>
            <w:tcW w:type="dxa" w:w="1701"/>
            <w:tcBorders>
              <w:bottom w:sz="12" w:val="single" w:color="#000000" w:space="0"/>
            </w:tcBorders>
          </w:tcPr>
          <w:p>
            <w:pPr>
              <w:spacing w:before="40" w:after="80" w:lineRule="atLeast" w:line="240"/>
            </w:pPr>
            <w:r>
              <w:rPr>
                <w:sz w:val="20"/>
              </w:rPr>
              <w:t>6</w:t>
            </w:r>
          </w:p>
        </w:tc>
        <w:tc>
          <w:tcPr>
            <w:tcW w:type="dxa" w:w="5669"/>
            <w:tcBorders>
              <w:bottom w:sz="12" w:val="single" w:color="#000000" w:space="0"/>
            </w:tcBorders>
          </w:tcPr>
          <w:p>
            <w:pPr>
              <w:spacing w:before="40" w:after="80" w:lineRule="atLeast" w:line="240"/>
            </w:pPr>
            <w:r>
              <w:rPr>
                <w:sz w:val="20"/>
              </w:rPr>
              <w:t>MCU</w:t>
              <w:br/>
              <w:t>Migration Contribution Units.</w:t>
              <w:br/>
              <w:t>Additional information of MCUs are hosted in the Mechanism Registry.</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