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prepared the ITMO for first transfer.</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100-Holding</w:t>
            </w:r>
          </w:p>
        </w:tc>
        <w:tc>
          <w:tcPr>
            <w:tcW w:type="dxa" w:w="5669"/>
          </w:tcPr>
          <w:p>
            <w:pPr>
              <w:spacing w:before="40" w:after="80" w:lineRule="atLeast" w:line="240"/>
            </w:pPr>
            <w:r>
              <w:rPr>
                <w:sz w:val="20"/>
              </w:rP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200-Use towards NDC</w:t>
            </w:r>
          </w:p>
        </w:tc>
        <w:tc>
          <w:tcPr>
            <w:tcW w:type="dxa" w:w="5669"/>
          </w:tcPr>
          <w:p>
            <w:pPr>
              <w:spacing w:before="40" w:after="80" w:lineRule="atLeast" w:line="240"/>
            </w:pPr>
            <w:r>
              <w:rPr>
                <w:sz w:val="20"/>
              </w:rP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210-Use towards international mitigation purposes (IMP)</w:t>
            </w:r>
          </w:p>
        </w:tc>
        <w:tc>
          <w:tcPr>
            <w:tcW w:type="dxa" w:w="5669"/>
          </w:tcPr>
          <w:p>
            <w:pPr>
              <w:spacing w:before="40" w:after="80" w:lineRule="atLeast" w:line="240"/>
            </w:pPr>
            <w:r>
              <w:rPr>
                <w:sz w:val="20"/>
              </w:rP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300-Cancellation for other purposes (OP)</w:t>
            </w:r>
          </w:p>
        </w:tc>
        <w:tc>
          <w:tcPr>
            <w:tcW w:type="dxa" w:w="5669"/>
          </w:tcPr>
          <w:p>
            <w:pPr>
              <w:spacing w:before="40" w:after="80" w:lineRule="atLeast" w:line="240"/>
            </w:pPr>
            <w:r>
              <w:rPr>
                <w:sz w:val="20"/>
              </w:rP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310-Voluntary cancellation of ITMOs not counted towards NDC or OIMP, for OMGE</w:t>
            </w:r>
          </w:p>
        </w:tc>
        <w:tc>
          <w:tcPr>
            <w:tcW w:type="dxa" w:w="5669"/>
          </w:tcPr>
          <w:p>
            <w:pPr>
              <w:spacing w:before="40" w:after="80" w:lineRule="atLeast" w:line="240"/>
            </w:pPr>
            <w:r>
              <w:rPr>
                <w:sz w:val="20"/>
              </w:rP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320-Voluntary cancellation</w:t>
            </w:r>
          </w:p>
        </w:tc>
        <w:tc>
          <w:tcPr>
            <w:tcW w:type="dxa" w:w="5669"/>
          </w:tcPr>
          <w:p>
            <w:pPr>
              <w:spacing w:before="40" w:after="80" w:lineRule="atLeast" w:line="240"/>
            </w:pPr>
            <w:r>
              <w:rPr>
                <w:sz w:val="20"/>
              </w:rP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330-Administrative cancellation</w:t>
            </w:r>
          </w:p>
        </w:tc>
        <w:tc>
          <w:tcPr>
            <w:tcW w:type="dxa" w:w="5669"/>
            <w:tcBorders>
              <w:bottom w:sz="12" w:val="single" w:color="#000000" w:space="0"/>
            </w:tcBorders>
          </w:tcPr>
          <w:p>
            <w:pPr>
              <w:spacing w:before="40" w:after="80" w:lineRule="atLeast" w:line="240"/>
            </w:pPr>
            <w:r>
              <w:rPr>
                <w:sz w:val="20"/>
              </w:rP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00-MO</w:t>
            </w:r>
          </w:p>
        </w:tc>
        <w:tc>
          <w:tcPr>
            <w:tcW w:type="dxa" w:w="5669"/>
          </w:tcPr>
          <w:p>
            <w:pPr>
              <w:spacing w:before="40" w:after="80" w:lineRule="atLeast" w:line="240"/>
            </w:pPr>
            <w:r>
              <w:rPr>
                <w:sz w:val="20"/>
              </w:rPr>
              <w:t>Unauthorised Mitigation Outcome</w:t>
            </w:r>
          </w:p>
        </w:tc>
      </w:tr>
      <w:tr>
        <w:tc>
          <w:tcPr>
            <w:tcW w:type="dxa" w:w="1701"/>
          </w:tcPr>
          <w:p>
            <w:pPr>
              <w:spacing w:before="40" w:after="80" w:lineRule="atLeast" w:line="240"/>
            </w:pPr>
            <w:r>
              <w:rPr>
                <w:sz w:val="20"/>
              </w:rPr>
              <w:t>01-MO</w:t>
            </w:r>
          </w:p>
        </w:tc>
        <w:tc>
          <w:tcPr>
            <w:tcW w:type="dxa" w:w="5669"/>
          </w:tcPr>
          <w:p>
            <w:pPr>
              <w:spacing w:before="40" w:after="80" w:lineRule="atLeast" w:line="240"/>
            </w:pPr>
            <w:r>
              <w:rPr>
                <w:sz w:val="20"/>
              </w:rPr>
              <w:t>Authorised Mitigation Outcome</w:t>
            </w:r>
          </w:p>
        </w:tc>
      </w:tr>
      <w:tr>
        <w:tc>
          <w:tcPr>
            <w:tcW w:type="dxa" w:w="1701"/>
          </w:tcPr>
          <w:p>
            <w:pPr>
              <w:spacing w:before="40" w:after="80" w:lineRule="atLeast" w:line="240"/>
            </w:pPr>
            <w:r>
              <w:rPr>
                <w:sz w:val="20"/>
              </w:rPr>
              <w:t>62-ITMO</w:t>
            </w:r>
          </w:p>
        </w:tc>
        <w:tc>
          <w:tcPr>
            <w:tcW w:type="dxa" w:w="5669"/>
          </w:tcPr>
          <w:p>
            <w:pPr>
              <w:spacing w:before="40" w:after="80" w:lineRule="atLeast" w:line="240"/>
            </w:pPr>
            <w:r>
              <w:rPr>
                <w:sz w:val="20"/>
              </w:rPr>
              <w:t>Internationally Transferred Mitigation Outcome</w:t>
            </w:r>
          </w:p>
        </w:tc>
      </w:tr>
      <w:tr>
        <w:tc>
          <w:tcPr>
            <w:tcW w:type="dxa" w:w="1701"/>
          </w:tcPr>
          <w:p>
            <w:pPr>
              <w:spacing w:before="40" w:after="80" w:lineRule="atLeast" w:line="240"/>
            </w:pPr>
            <w:r>
              <w:rPr>
                <w:sz w:val="20"/>
              </w:rPr>
              <w:t>64-A6.4ER</w:t>
            </w:r>
          </w:p>
        </w:tc>
        <w:tc>
          <w:tcPr>
            <w:tcW w:type="dxa" w:w="5669"/>
          </w:tcPr>
          <w:p>
            <w:pPr>
              <w:spacing w:before="40" w:after="80" w:lineRule="atLeast" w:line="240"/>
            </w:pPr>
            <w:r>
              <w:rPr>
                <w:sz w:val="20"/>
              </w:rPr>
              <w:t>Article 6.4 Emission Reduction Unit</w:t>
            </w:r>
          </w:p>
        </w:tc>
      </w:tr>
      <w:tr>
        <w:tc>
          <w:tcPr>
            <w:tcW w:type="dxa" w:w="1701"/>
          </w:tcPr>
          <w:p>
            <w:pPr>
              <w:spacing w:before="40" w:after="80" w:lineRule="atLeast" w:line="240"/>
            </w:pPr>
            <w:r>
              <w:rPr>
                <w:sz w:val="20"/>
              </w:rPr>
              <w:t>65-A6.4ER (from CER)</w:t>
            </w:r>
          </w:p>
        </w:tc>
        <w:tc>
          <w:tcPr>
            <w:tcW w:type="dxa" w:w="5669"/>
          </w:tcPr>
          <w:p>
            <w:pPr>
              <w:spacing w:before="40" w:after="80" w:lineRule="atLeast" w:line="240"/>
            </w:pPr>
            <w:r>
              <w:rPr>
                <w:sz w:val="20"/>
              </w:rPr>
              <w:t>Article 6.4 Emission Reduction Unit from Certified Emission Reduction.</w:t>
            </w:r>
          </w:p>
        </w:tc>
      </w:tr>
      <w:tr>
        <w:tc>
          <w:tcPr>
            <w:tcW w:type="dxa" w:w="1701"/>
            <w:tcBorders>
              <w:bottom w:sz="12" w:val="single" w:color="#000000" w:space="0"/>
            </w:tcBorders>
          </w:tcPr>
          <w:p>
            <w:pPr>
              <w:spacing w:before="40" w:after="80" w:lineRule="atLeast" w:line="240"/>
            </w:pPr>
            <w:r>
              <w:rPr>
                <w:sz w:val="20"/>
              </w:rPr>
              <w:t>67-MCU</w:t>
            </w:r>
          </w:p>
        </w:tc>
        <w:tc>
          <w:tcPr>
            <w:tcW w:type="dxa" w:w="5669"/>
            <w:tcBorders>
              <w:bottom w:sz="12" w:val="single" w:color="#000000" w:space="0"/>
            </w:tcBorders>
          </w:tcPr>
          <w:p>
            <w:pPr>
              <w:spacing w:before="40" w:after="80" w:lineRule="atLeast" w:line="240"/>
            </w:pPr>
            <w:r>
              <w:rPr>
                <w:sz w:val="20"/>
              </w:rPr>
              <w:t>Migration Contribution Units</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