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prepared the ITMO for first transfer.</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w:t>
            </w:r>
          </w:p>
        </w:tc>
        <w:tc>
          <w:tcPr>
            <w:tcW w:type="dxa" w:w="5669"/>
          </w:tcPr>
          <w:p>
            <w:pPr>
              <w:spacing w:before="40" w:after="80" w:lineRule="atLeast" w:line="240"/>
            </w:pPr>
            <w:r>
              <w:rPr>
                <w:sz w:val="20"/>
              </w:rPr>
              <w:t>Holding:</w:t>
              <w:b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200</w:t>
            </w:r>
          </w:p>
        </w:tc>
        <w:tc>
          <w:tcPr>
            <w:tcW w:type="dxa" w:w="5669"/>
          </w:tcPr>
          <w:p>
            <w:pPr>
              <w:spacing w:before="40" w:after="80" w:lineRule="atLeast" w:line="240"/>
            </w:pPr>
            <w:r>
              <w:rPr>
                <w:sz w:val="20"/>
              </w:rPr>
              <w:t>Use towards NCD:</w:t>
              <w:b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210</w:t>
            </w:r>
          </w:p>
        </w:tc>
        <w:tc>
          <w:tcPr>
            <w:tcW w:type="dxa" w:w="5669"/>
          </w:tcPr>
          <w:p>
            <w:pPr>
              <w:spacing w:before="40" w:after="80" w:lineRule="atLeast" w:line="240"/>
            </w:pPr>
            <w:r>
              <w:rPr>
                <w:sz w:val="20"/>
              </w:rPr>
              <w:t>Use towards international mitigation purposes (IMP):</w:t>
              <w:b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300</w:t>
            </w:r>
          </w:p>
        </w:tc>
        <w:tc>
          <w:tcPr>
            <w:tcW w:type="dxa" w:w="5669"/>
          </w:tcPr>
          <w:p>
            <w:pPr>
              <w:spacing w:before="40" w:after="80" w:lineRule="atLeast" w:line="240"/>
            </w:pPr>
            <w:r>
              <w:rPr>
                <w:sz w:val="20"/>
              </w:rPr>
              <w:t>Cancellation for other purposes (OP):</w:t>
              <w:b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310</w:t>
            </w:r>
          </w:p>
        </w:tc>
        <w:tc>
          <w:tcPr>
            <w:tcW w:type="dxa" w:w="5669"/>
          </w:tcPr>
          <w:p>
            <w:pPr>
              <w:spacing w:before="40" w:after="80" w:lineRule="atLeast" w:line="240"/>
            </w:pPr>
            <w:r>
              <w:rPr>
                <w:sz w:val="20"/>
              </w:rPr>
              <w:t>Voluntary cancellation of ITMOs not counted towards NDC or OIMP, for OMGE:</w:t>
              <w:b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320</w:t>
            </w:r>
          </w:p>
        </w:tc>
        <w:tc>
          <w:tcPr>
            <w:tcW w:type="dxa" w:w="5669"/>
          </w:tcPr>
          <w:p>
            <w:pPr>
              <w:spacing w:before="40" w:after="80" w:lineRule="atLeast" w:line="240"/>
            </w:pPr>
            <w:r>
              <w:rPr>
                <w:sz w:val="20"/>
              </w:rPr>
              <w:t>Voluntary cancellation:</w:t>
              <w:b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330</w:t>
            </w:r>
          </w:p>
        </w:tc>
        <w:tc>
          <w:tcPr>
            <w:tcW w:type="dxa" w:w="5669"/>
            <w:tcBorders>
              <w:bottom w:sz="12" w:val="single" w:color="#000000" w:space="0"/>
            </w:tcBorders>
          </w:tcPr>
          <w:p>
            <w:pPr>
              <w:spacing w:before="40" w:after="80" w:lineRule="atLeast" w:line="240"/>
            </w:pPr>
            <w:r>
              <w:rPr>
                <w:sz w:val="20"/>
              </w:rPr>
              <w:t>Administrative cancellation:</w:t>
              <w:b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w:t>
            </w:r>
          </w:p>
        </w:tc>
        <w:tc>
          <w:tcPr>
            <w:tcW w:type="dxa" w:w="5669"/>
          </w:tcPr>
          <w:p>
            <w:pPr>
              <w:spacing w:before="40" w:after="80" w:lineRule="atLeast" w:line="240"/>
            </w:pPr>
            <w:r>
              <w:rPr>
                <w:sz w:val="20"/>
              </w:rPr>
              <w:t>ITMO: Internationally Transferred Mitigation Outcome.</w:t>
              <w:br/>
              <w:t>Including authorized A6.4 ER.</w:t>
              <w:br/>
              <w:t>Additional information of ITMOs are hosted in the CARP.</w:t>
            </w:r>
          </w:p>
        </w:tc>
      </w:tr>
      <w:tr>
        <w:tc>
          <w:tcPr>
            <w:tcW w:type="dxa" w:w="1701"/>
          </w:tcPr>
          <w:p>
            <w:pPr>
              <w:spacing w:before="40" w:after="80" w:lineRule="atLeast" w:line="240"/>
            </w:pPr>
            <w:r>
              <w:rPr>
                <w:sz w:val="20"/>
              </w:rPr>
              <w:t>2</w:t>
            </w:r>
          </w:p>
        </w:tc>
        <w:tc>
          <w:tcPr>
            <w:tcW w:type="dxa" w:w="5669"/>
          </w:tcPr>
          <w:p>
            <w:pPr>
              <w:spacing w:before="40" w:after="80" w:lineRule="atLeast" w:line="240"/>
            </w:pPr>
            <w:r>
              <w:rPr>
                <w:sz w:val="20"/>
              </w:rPr>
              <w:t>A6.4ER: Unauthorized A6.4 ER.</w:t>
              <w:br/>
              <w:t>Additional information of A6.4ERs are hosted in the Mechanism Registry.</w:t>
            </w:r>
          </w:p>
        </w:tc>
      </w:tr>
      <w:tr>
        <w:tc>
          <w:tcPr>
            <w:tcW w:type="dxa" w:w="1701"/>
          </w:tcPr>
          <w:p>
            <w:pPr>
              <w:spacing w:before="40" w:after="80" w:lineRule="atLeast" w:line="240"/>
            </w:pPr>
            <w:r>
              <w:rPr>
                <w:sz w:val="20"/>
              </w:rPr>
              <w:t>3</w:t>
            </w:r>
          </w:p>
        </w:tc>
        <w:tc>
          <w:tcPr>
            <w:tcW w:type="dxa" w:w="5669"/>
          </w:tcPr>
          <w:p>
            <w:pPr>
              <w:spacing w:before="40" w:after="80" w:lineRule="atLeast" w:line="240"/>
            </w:pPr>
            <w:r>
              <w:rPr>
                <w:sz w:val="20"/>
              </w:rPr>
              <w:t>MO: Unauthorised Mitigation Outcome.</w:t>
              <w:br/>
              <w:t>Unauthorised MOs are held in participating Party systems. These may be Party registries or registry sections provided by the International Registry.</w:t>
            </w:r>
          </w:p>
        </w:tc>
      </w:tr>
      <w:tr>
        <w:tc>
          <w:tcPr>
            <w:tcW w:type="dxa" w:w="1701"/>
          </w:tcPr>
          <w:p>
            <w:pPr>
              <w:spacing w:before="40" w:after="80" w:lineRule="atLeast" w:line="240"/>
            </w:pPr>
            <w:r>
              <w:rPr>
                <w:sz w:val="20"/>
              </w:rPr>
              <w:t>4</w:t>
            </w:r>
          </w:p>
        </w:tc>
        <w:tc>
          <w:tcPr>
            <w:tcW w:type="dxa" w:w="5669"/>
          </w:tcPr>
          <w:p>
            <w:pPr>
              <w:spacing w:before="40" w:after="80" w:lineRule="atLeast" w:line="240"/>
            </w:pPr>
            <w:r>
              <w:rPr>
                <w:sz w:val="20"/>
              </w:rPr>
              <w:t>AMO: Authorized Mitigation Outcome.</w:t>
              <w:br/>
              <w:t>Additional information of AMOs are hosted in the CARP.</w:t>
            </w:r>
          </w:p>
        </w:tc>
      </w:tr>
      <w:tr>
        <w:tc>
          <w:tcPr>
            <w:tcW w:type="dxa" w:w="1701"/>
          </w:tcPr>
          <w:p>
            <w:pPr>
              <w:spacing w:before="40" w:after="80" w:lineRule="atLeast" w:line="240"/>
            </w:pPr>
            <w:r>
              <w:rPr>
                <w:sz w:val="20"/>
              </w:rPr>
              <w:t>5</w:t>
            </w:r>
          </w:p>
        </w:tc>
        <w:tc>
          <w:tcPr>
            <w:tcW w:type="dxa" w:w="5669"/>
          </w:tcPr>
          <w:p>
            <w:pPr>
              <w:spacing w:before="40" w:after="80" w:lineRule="atLeast" w:line="240"/>
            </w:pPr>
            <w:r>
              <w:rPr>
                <w:sz w:val="20"/>
              </w:rPr>
              <w:t>CER: Article 6.4 Emission Reduction Unit from Certified Emission Reduction.</w:t>
              <w:br/>
              <w:t>Additional information of CERs are hosted in the Mechanism Registry.</w:t>
            </w:r>
          </w:p>
        </w:tc>
      </w:tr>
      <w:tr>
        <w:tc>
          <w:tcPr>
            <w:tcW w:type="dxa" w:w="1701"/>
            <w:tcBorders>
              <w:bottom w:sz="12" w:val="single" w:color="#000000" w:space="0"/>
            </w:tcBorders>
          </w:tcPr>
          <w:p>
            <w:pPr>
              <w:spacing w:before="40" w:after="80" w:lineRule="atLeast" w:line="240"/>
            </w:pPr>
            <w:r>
              <w:rPr>
                <w:sz w:val="20"/>
              </w:rPr>
              <w:t>6</w:t>
            </w:r>
          </w:p>
        </w:tc>
        <w:tc>
          <w:tcPr>
            <w:tcW w:type="dxa" w:w="5669"/>
            <w:tcBorders>
              <w:bottom w:sz="12" w:val="single" w:color="#000000" w:space="0"/>
            </w:tcBorders>
          </w:tcPr>
          <w:p>
            <w:pPr>
              <w:spacing w:before="40" w:after="80" w:lineRule="atLeast" w:line="240"/>
            </w:pPr>
            <w:r>
              <w:rPr>
                <w:sz w:val="20"/>
              </w:rPr>
              <w:t>MCU: Migration Contribution Units.</w:t>
              <w:br/>
              <w:t>Additional information of MCUs are hosted in the Mechanism Registry.</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