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850D" w14:textId="77777777" w:rsidR="00F27332" w:rsidRPr="00F27332" w:rsidRDefault="00F27332" w:rsidP="00F27332">
      <w:pPr>
        <w:pStyle w:val="Ttulo1"/>
      </w:pPr>
      <w:r w:rsidRPr="00F27332">
        <w:t>1. Objetivo de la solución</w:t>
      </w:r>
    </w:p>
    <w:p w14:paraId="785F3649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La propuesta consolida la arquitectura de Banco XYZ como un conjunto de microservicios seguros, resilientes y orientados a eventos. La solución integra OAuth 2.0 y JWT para autenticación y autorización, Spring Cloud para configuración y descubrimiento, Resilience4j para tolerancia a fallos, Apache Kafka para mensajería asíncrona y Docker </w:t>
      </w:r>
      <w:proofErr w:type="spellStart"/>
      <w:r w:rsidRPr="00F27332">
        <w:rPr>
          <w:rFonts w:ascii="Arial" w:hAnsi="Arial" w:cs="Arial"/>
          <w:sz w:val="24"/>
          <w:szCs w:val="24"/>
        </w:rPr>
        <w:t>Compose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para ejecutar todos los componentes en un entorno reproducible.</w:t>
      </w:r>
    </w:p>
    <w:p w14:paraId="77B2844E" w14:textId="77777777" w:rsidR="00F27332" w:rsidRPr="00F27332" w:rsidRDefault="00F27332" w:rsidP="00F27332">
      <w:pPr>
        <w:pStyle w:val="Ttulo1"/>
      </w:pPr>
      <w:r w:rsidRPr="00F27332">
        <w:t>2. Componentes implementados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7332" w:rsidRPr="00F27332" w14:paraId="1118BC56" w14:textId="77777777" w:rsidTr="00557E13">
        <w:trPr>
          <w:jc w:val="center"/>
        </w:trPr>
        <w:tc>
          <w:tcPr>
            <w:tcW w:w="3312" w:type="dxa"/>
          </w:tcPr>
          <w:p w14:paraId="168A92DC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Componente</w:t>
            </w:r>
          </w:p>
        </w:tc>
        <w:tc>
          <w:tcPr>
            <w:tcW w:w="3312" w:type="dxa"/>
          </w:tcPr>
          <w:p w14:paraId="5D30B26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Puerto</w:t>
            </w:r>
          </w:p>
        </w:tc>
        <w:tc>
          <w:tcPr>
            <w:tcW w:w="3312" w:type="dxa"/>
          </w:tcPr>
          <w:p w14:paraId="3038E0E7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Función</w:t>
            </w:r>
          </w:p>
        </w:tc>
      </w:tr>
      <w:tr w:rsidR="00F27332" w:rsidRPr="00F27332" w14:paraId="23BA78E7" w14:textId="77777777" w:rsidTr="00557E13">
        <w:trPr>
          <w:jc w:val="center"/>
        </w:trPr>
        <w:tc>
          <w:tcPr>
            <w:tcW w:w="3312" w:type="dxa"/>
            <w:vAlign w:val="center"/>
          </w:tcPr>
          <w:p w14:paraId="7CFDEE7A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config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-server</w:t>
            </w:r>
          </w:p>
        </w:tc>
        <w:tc>
          <w:tcPr>
            <w:tcW w:w="3312" w:type="dxa"/>
            <w:vAlign w:val="center"/>
          </w:tcPr>
          <w:p w14:paraId="34B2CA3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8888</w:t>
            </w:r>
          </w:p>
        </w:tc>
        <w:tc>
          <w:tcPr>
            <w:tcW w:w="3312" w:type="dxa"/>
            <w:vAlign w:val="center"/>
          </w:tcPr>
          <w:p w14:paraId="4A045840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Configuración centralizada de los BFF.</w:t>
            </w:r>
          </w:p>
        </w:tc>
      </w:tr>
      <w:tr w:rsidR="00F27332" w:rsidRPr="00F27332" w14:paraId="18BDDE56" w14:textId="77777777" w:rsidTr="00557E13">
        <w:trPr>
          <w:jc w:val="center"/>
        </w:trPr>
        <w:tc>
          <w:tcPr>
            <w:tcW w:w="3312" w:type="dxa"/>
            <w:vAlign w:val="center"/>
          </w:tcPr>
          <w:p w14:paraId="43BCEDBD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discovery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-server</w:t>
            </w:r>
          </w:p>
        </w:tc>
        <w:tc>
          <w:tcPr>
            <w:tcW w:w="3312" w:type="dxa"/>
            <w:vAlign w:val="center"/>
          </w:tcPr>
          <w:p w14:paraId="41F951DD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8761</w:t>
            </w:r>
          </w:p>
        </w:tc>
        <w:tc>
          <w:tcPr>
            <w:tcW w:w="3312" w:type="dxa"/>
            <w:vAlign w:val="center"/>
          </w:tcPr>
          <w:p w14:paraId="14C65BD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Eureka Service Discovery.</w:t>
            </w:r>
          </w:p>
        </w:tc>
      </w:tr>
      <w:tr w:rsidR="00F27332" w:rsidRPr="00F27332" w14:paraId="1582AB4F" w14:textId="77777777" w:rsidTr="00557E13">
        <w:trPr>
          <w:jc w:val="center"/>
        </w:trPr>
        <w:tc>
          <w:tcPr>
            <w:tcW w:w="3312" w:type="dxa"/>
            <w:vAlign w:val="center"/>
          </w:tcPr>
          <w:p w14:paraId="4707488E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auth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-server</w:t>
            </w:r>
          </w:p>
        </w:tc>
        <w:tc>
          <w:tcPr>
            <w:tcW w:w="3312" w:type="dxa"/>
            <w:vAlign w:val="center"/>
          </w:tcPr>
          <w:p w14:paraId="7D775C14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9000</w:t>
            </w:r>
          </w:p>
        </w:tc>
        <w:tc>
          <w:tcPr>
            <w:tcW w:w="3312" w:type="dxa"/>
            <w:vAlign w:val="center"/>
          </w:tcPr>
          <w:p w14:paraId="67146C11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Authorization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Server OAuth2 que emite JWT.</w:t>
            </w:r>
          </w:p>
        </w:tc>
      </w:tr>
      <w:tr w:rsidR="00F27332" w:rsidRPr="00F27332" w14:paraId="179281B9" w14:textId="77777777" w:rsidTr="00557E13">
        <w:trPr>
          <w:jc w:val="center"/>
        </w:trPr>
        <w:tc>
          <w:tcPr>
            <w:tcW w:w="3312" w:type="dxa"/>
            <w:vAlign w:val="center"/>
          </w:tcPr>
          <w:p w14:paraId="50F2B51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core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-banco</w:t>
            </w:r>
          </w:p>
        </w:tc>
        <w:tc>
          <w:tcPr>
            <w:tcW w:w="3312" w:type="dxa"/>
            <w:vAlign w:val="center"/>
          </w:tcPr>
          <w:p w14:paraId="0A1A007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8080</w:t>
            </w:r>
          </w:p>
        </w:tc>
        <w:tc>
          <w:tcPr>
            <w:tcW w:w="3312" w:type="dxa"/>
            <w:vAlign w:val="center"/>
          </w:tcPr>
          <w:p w14:paraId="22905ED3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Lógica de negocio central y acceso a datos </w:t>
            </w: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legacy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</w:tc>
      </w:tr>
      <w:tr w:rsidR="00F27332" w:rsidRPr="00F27332" w14:paraId="4A4957DF" w14:textId="77777777" w:rsidTr="00557E13">
        <w:trPr>
          <w:jc w:val="center"/>
        </w:trPr>
        <w:tc>
          <w:tcPr>
            <w:tcW w:w="3312" w:type="dxa"/>
            <w:vAlign w:val="center"/>
          </w:tcPr>
          <w:p w14:paraId="6A874B1B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bff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-web</w:t>
            </w:r>
          </w:p>
        </w:tc>
        <w:tc>
          <w:tcPr>
            <w:tcW w:w="3312" w:type="dxa"/>
            <w:vAlign w:val="center"/>
          </w:tcPr>
          <w:p w14:paraId="63592DC9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8081 HTTPS</w:t>
            </w:r>
          </w:p>
        </w:tc>
        <w:tc>
          <w:tcPr>
            <w:tcW w:w="3312" w:type="dxa"/>
            <w:vAlign w:val="center"/>
          </w:tcPr>
          <w:p w14:paraId="6F3E7632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Respuesta completa para clientes Web.</w:t>
            </w:r>
          </w:p>
        </w:tc>
      </w:tr>
      <w:tr w:rsidR="00F27332" w:rsidRPr="00F27332" w14:paraId="4AC21F3E" w14:textId="77777777" w:rsidTr="00557E13">
        <w:trPr>
          <w:jc w:val="center"/>
        </w:trPr>
        <w:tc>
          <w:tcPr>
            <w:tcW w:w="3312" w:type="dxa"/>
            <w:vAlign w:val="center"/>
          </w:tcPr>
          <w:p w14:paraId="7ABCDBA7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bff-mobile</w:t>
            </w:r>
            <w:proofErr w:type="spellEnd"/>
          </w:p>
        </w:tc>
        <w:tc>
          <w:tcPr>
            <w:tcW w:w="3312" w:type="dxa"/>
            <w:vAlign w:val="center"/>
          </w:tcPr>
          <w:p w14:paraId="3A43871C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8082 HTTPS</w:t>
            </w:r>
          </w:p>
        </w:tc>
        <w:tc>
          <w:tcPr>
            <w:tcW w:w="3312" w:type="dxa"/>
            <w:vAlign w:val="center"/>
          </w:tcPr>
          <w:p w14:paraId="4BA3174F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Respuesta optimizada para clientes móviles.</w:t>
            </w:r>
          </w:p>
        </w:tc>
      </w:tr>
      <w:tr w:rsidR="00F27332" w:rsidRPr="00F27332" w14:paraId="30E18269" w14:textId="77777777" w:rsidTr="00557E13">
        <w:trPr>
          <w:jc w:val="center"/>
        </w:trPr>
        <w:tc>
          <w:tcPr>
            <w:tcW w:w="3312" w:type="dxa"/>
            <w:vAlign w:val="center"/>
          </w:tcPr>
          <w:p w14:paraId="14357CCC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bff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-atm</w:t>
            </w:r>
          </w:p>
        </w:tc>
        <w:tc>
          <w:tcPr>
            <w:tcW w:w="3312" w:type="dxa"/>
            <w:vAlign w:val="center"/>
          </w:tcPr>
          <w:p w14:paraId="63014778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8083 HTTPS</w:t>
            </w:r>
          </w:p>
        </w:tc>
        <w:tc>
          <w:tcPr>
            <w:tcW w:w="3312" w:type="dxa"/>
            <w:vAlign w:val="center"/>
          </w:tcPr>
          <w:p w14:paraId="431FAAA0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Operaciones ATM, saldo y retiros asíncronos.</w:t>
            </w:r>
          </w:p>
        </w:tc>
      </w:tr>
      <w:tr w:rsidR="00F27332" w:rsidRPr="00F27332" w14:paraId="6C3A8B0A" w14:textId="77777777" w:rsidTr="00557E13">
        <w:trPr>
          <w:jc w:val="center"/>
        </w:trPr>
        <w:tc>
          <w:tcPr>
            <w:tcW w:w="3312" w:type="dxa"/>
            <w:vAlign w:val="center"/>
          </w:tcPr>
          <w:p w14:paraId="5654B828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Kafka</w:t>
            </w:r>
          </w:p>
        </w:tc>
        <w:tc>
          <w:tcPr>
            <w:tcW w:w="3312" w:type="dxa"/>
            <w:vAlign w:val="center"/>
          </w:tcPr>
          <w:p w14:paraId="0B29B159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9092</w:t>
            </w:r>
          </w:p>
        </w:tc>
        <w:tc>
          <w:tcPr>
            <w:tcW w:w="3312" w:type="dxa"/>
            <w:vAlign w:val="center"/>
          </w:tcPr>
          <w:p w14:paraId="59855C80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Mensajería asíncrona y arquitectura orientada a eventos.</w:t>
            </w:r>
          </w:p>
        </w:tc>
      </w:tr>
    </w:tbl>
    <w:p w14:paraId="462E7A00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</w:p>
    <w:p w14:paraId="1CF4F818" w14:textId="2D7A4179" w:rsidR="00F27332" w:rsidRPr="00F27332" w:rsidRDefault="00F27332" w:rsidP="00F27332">
      <w:pPr>
        <w:pStyle w:val="Ttulo1"/>
      </w:pPr>
      <w:r w:rsidRPr="00F27332">
        <w:t>3. Arquitectura propuesta</w:t>
      </w:r>
    </w:p>
    <w:p w14:paraId="7CDE7520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Los clientes consumen los BFF Web, Mobile y ATM mediante HTTPS. Los BFF validan JWT emitidos por </w:t>
      </w:r>
      <w:proofErr w:type="spellStart"/>
      <w:r w:rsidRPr="00F27332">
        <w:rPr>
          <w:rFonts w:ascii="Arial" w:hAnsi="Arial" w:cs="Arial"/>
          <w:sz w:val="24"/>
          <w:szCs w:val="24"/>
        </w:rPr>
        <w:t>auth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-server y localizan dinámicamente a </w:t>
      </w:r>
      <w:proofErr w:type="spellStart"/>
      <w:r w:rsidRPr="00F27332">
        <w:rPr>
          <w:rFonts w:ascii="Arial" w:hAnsi="Arial" w:cs="Arial"/>
          <w:sz w:val="24"/>
          <w:szCs w:val="24"/>
        </w:rPr>
        <w:t>core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-banco mediante Eureka y Spring Cloud </w:t>
      </w:r>
      <w:proofErr w:type="spellStart"/>
      <w:r w:rsidRPr="00F27332">
        <w:rPr>
          <w:rFonts w:ascii="Arial" w:hAnsi="Arial" w:cs="Arial"/>
          <w:sz w:val="24"/>
          <w:szCs w:val="24"/>
        </w:rPr>
        <w:t>LoadBalancer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27332">
        <w:rPr>
          <w:rFonts w:ascii="Arial" w:hAnsi="Arial" w:cs="Arial"/>
          <w:sz w:val="24"/>
          <w:szCs w:val="24"/>
        </w:rPr>
        <w:t>Config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Server centraliza configuración. Para las operaciones de retiro ATM, Kafka desacopla el ingreso de la solicitud de su procesamiento en Core Banco.</w:t>
      </w:r>
    </w:p>
    <w:p w14:paraId="7D40469B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lastRenderedPageBreak/>
        <w:t>Clientes</w:t>
      </w:r>
      <w:r w:rsidRPr="00F27332">
        <w:rPr>
          <w:rFonts w:ascii="Arial" w:hAnsi="Arial" w:cs="Arial"/>
          <w:sz w:val="24"/>
          <w:szCs w:val="24"/>
        </w:rPr>
        <w:br/>
        <w:t xml:space="preserve">   |</w:t>
      </w:r>
      <w:r w:rsidRPr="00F27332">
        <w:rPr>
          <w:rFonts w:ascii="Arial" w:hAnsi="Arial" w:cs="Arial"/>
          <w:sz w:val="24"/>
          <w:szCs w:val="24"/>
        </w:rPr>
        <w:br/>
        <w:t xml:space="preserve">   v</w:t>
      </w:r>
      <w:r w:rsidRPr="00F27332">
        <w:rPr>
          <w:rFonts w:ascii="Arial" w:hAnsi="Arial" w:cs="Arial"/>
          <w:sz w:val="24"/>
          <w:szCs w:val="24"/>
        </w:rPr>
        <w:br/>
        <w:t>Auth Server (OAuth2/JWT)</w:t>
      </w:r>
      <w:r w:rsidRPr="00F27332">
        <w:rPr>
          <w:rFonts w:ascii="Arial" w:hAnsi="Arial" w:cs="Arial"/>
          <w:sz w:val="24"/>
          <w:szCs w:val="24"/>
        </w:rPr>
        <w:br/>
        <w:t xml:space="preserve">   |</w:t>
      </w:r>
      <w:r w:rsidRPr="00F27332">
        <w:rPr>
          <w:rFonts w:ascii="Arial" w:hAnsi="Arial" w:cs="Arial"/>
          <w:sz w:val="24"/>
          <w:szCs w:val="24"/>
        </w:rPr>
        <w:br/>
        <w:t xml:space="preserve">   +----------+----------+</w:t>
      </w:r>
      <w:r w:rsidRPr="00F27332">
        <w:rPr>
          <w:rFonts w:ascii="Arial" w:hAnsi="Arial" w:cs="Arial"/>
          <w:sz w:val="24"/>
          <w:szCs w:val="24"/>
        </w:rPr>
        <w:br/>
        <w:t xml:space="preserve">   |          |          |</w:t>
      </w:r>
      <w:r w:rsidRPr="00F27332">
        <w:rPr>
          <w:rFonts w:ascii="Arial" w:hAnsi="Arial" w:cs="Arial"/>
          <w:sz w:val="24"/>
          <w:szCs w:val="24"/>
        </w:rPr>
        <w:br/>
        <w:t xml:space="preserve"> BFF Web   BFF Mobile  BFF ATM</w:t>
      </w:r>
      <w:r w:rsidRPr="00F27332">
        <w:rPr>
          <w:rFonts w:ascii="Arial" w:hAnsi="Arial" w:cs="Arial"/>
          <w:sz w:val="24"/>
          <w:szCs w:val="24"/>
        </w:rPr>
        <w:br/>
        <w:t xml:space="preserve">   \          |          /</w:t>
      </w:r>
      <w:r w:rsidRPr="00F27332">
        <w:rPr>
          <w:rFonts w:ascii="Arial" w:hAnsi="Arial" w:cs="Arial"/>
          <w:sz w:val="24"/>
          <w:szCs w:val="24"/>
        </w:rPr>
        <w:br/>
        <w:t xml:space="preserve">    \         |         /</w:t>
      </w:r>
      <w:r w:rsidRPr="00F27332">
        <w:rPr>
          <w:rFonts w:ascii="Arial" w:hAnsi="Arial" w:cs="Arial"/>
          <w:sz w:val="24"/>
          <w:szCs w:val="24"/>
        </w:rPr>
        <w:br/>
        <w:t xml:space="preserve">     Eureka + </w:t>
      </w:r>
      <w:proofErr w:type="spellStart"/>
      <w:r w:rsidRPr="00F27332">
        <w:rPr>
          <w:rFonts w:ascii="Arial" w:hAnsi="Arial" w:cs="Arial"/>
          <w:sz w:val="24"/>
          <w:szCs w:val="24"/>
        </w:rPr>
        <w:t>LoadBalancer</w:t>
      </w:r>
      <w:proofErr w:type="spellEnd"/>
      <w:r w:rsidRPr="00F27332">
        <w:rPr>
          <w:rFonts w:ascii="Arial" w:hAnsi="Arial" w:cs="Arial"/>
          <w:sz w:val="24"/>
          <w:szCs w:val="24"/>
        </w:rPr>
        <w:br/>
        <w:t xml:space="preserve">              |</w:t>
      </w:r>
      <w:r w:rsidRPr="00F27332">
        <w:rPr>
          <w:rFonts w:ascii="Arial" w:hAnsi="Arial" w:cs="Arial"/>
          <w:sz w:val="24"/>
          <w:szCs w:val="24"/>
        </w:rPr>
        <w:br/>
        <w:t xml:space="preserve">          Core Banco</w:t>
      </w:r>
      <w:r w:rsidRPr="00F27332">
        <w:rPr>
          <w:rFonts w:ascii="Arial" w:hAnsi="Arial" w:cs="Arial"/>
          <w:sz w:val="24"/>
          <w:szCs w:val="24"/>
        </w:rPr>
        <w:br/>
        <w:t xml:space="preserve">              |</w:t>
      </w:r>
      <w:r w:rsidRPr="00F27332">
        <w:rPr>
          <w:rFonts w:ascii="Arial" w:hAnsi="Arial" w:cs="Arial"/>
          <w:sz w:val="24"/>
          <w:szCs w:val="24"/>
        </w:rPr>
        <w:br/>
        <w:t xml:space="preserve">             Kafka</w:t>
      </w:r>
      <w:r w:rsidRPr="00F27332">
        <w:rPr>
          <w:rFonts w:ascii="Arial" w:hAnsi="Arial" w:cs="Arial"/>
          <w:sz w:val="24"/>
          <w:szCs w:val="24"/>
        </w:rPr>
        <w:br/>
      </w:r>
    </w:p>
    <w:p w14:paraId="25E19D6C" w14:textId="77777777" w:rsidR="00F27332" w:rsidRPr="00F27332" w:rsidRDefault="00F27332" w:rsidP="00F27332">
      <w:pPr>
        <w:pStyle w:val="Ttulo1"/>
      </w:pPr>
      <w:r w:rsidRPr="00F27332">
        <w:t>4. Seguridad OAuth 2.0</w:t>
      </w:r>
    </w:p>
    <w:p w14:paraId="5B610E7A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proofErr w:type="spellStart"/>
      <w:r w:rsidRPr="00F27332">
        <w:rPr>
          <w:rFonts w:ascii="Arial" w:hAnsi="Arial" w:cs="Arial"/>
          <w:sz w:val="24"/>
          <w:szCs w:val="24"/>
        </w:rPr>
        <w:t>auth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-server se implementó con Spring </w:t>
      </w:r>
      <w:proofErr w:type="spellStart"/>
      <w:r w:rsidRPr="00F27332">
        <w:rPr>
          <w:rFonts w:ascii="Arial" w:hAnsi="Arial" w:cs="Arial"/>
          <w:sz w:val="24"/>
          <w:szCs w:val="24"/>
        </w:rPr>
        <w:t>Authorization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Server. La aplicación registra un cliente de servicio con flujo </w:t>
      </w:r>
      <w:proofErr w:type="spellStart"/>
      <w:r w:rsidRPr="00F27332">
        <w:rPr>
          <w:rFonts w:ascii="Arial" w:hAnsi="Arial" w:cs="Arial"/>
          <w:sz w:val="24"/>
          <w:szCs w:val="24"/>
        </w:rPr>
        <w:t>client_credentials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y los </w:t>
      </w:r>
      <w:proofErr w:type="spellStart"/>
      <w:r w:rsidRPr="00F27332">
        <w:rPr>
          <w:rFonts w:ascii="Arial" w:hAnsi="Arial" w:cs="Arial"/>
          <w:sz w:val="24"/>
          <w:szCs w:val="24"/>
        </w:rPr>
        <w:t>scopes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7332">
        <w:rPr>
          <w:rFonts w:ascii="Arial" w:hAnsi="Arial" w:cs="Arial"/>
          <w:sz w:val="24"/>
          <w:szCs w:val="24"/>
        </w:rPr>
        <w:t>banco.read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F27332">
        <w:rPr>
          <w:rFonts w:ascii="Arial" w:hAnsi="Arial" w:cs="Arial"/>
          <w:sz w:val="24"/>
          <w:szCs w:val="24"/>
        </w:rPr>
        <w:t>banco.write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27332">
        <w:rPr>
          <w:rFonts w:ascii="Arial" w:hAnsi="Arial" w:cs="Arial"/>
          <w:sz w:val="24"/>
          <w:szCs w:val="24"/>
        </w:rPr>
        <w:t>core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-banco y los tres BFF funcionan como OAuth2 </w:t>
      </w:r>
      <w:proofErr w:type="spellStart"/>
      <w:r w:rsidRPr="00F27332">
        <w:rPr>
          <w:rFonts w:ascii="Arial" w:hAnsi="Arial" w:cs="Arial"/>
          <w:sz w:val="24"/>
          <w:szCs w:val="24"/>
        </w:rPr>
        <w:t>Resource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Servers y validan los JWT.</w:t>
      </w:r>
    </w:p>
    <w:p w14:paraId="35753AC8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>Solicitud sin token hacia un recurso protegido: HTTP 401.</w:t>
      </w:r>
    </w:p>
    <w:p w14:paraId="6D5CEA0A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Token con </w:t>
      </w:r>
      <w:proofErr w:type="spellStart"/>
      <w:r w:rsidRPr="00F27332">
        <w:rPr>
          <w:rFonts w:ascii="Arial" w:hAnsi="Arial" w:cs="Arial"/>
          <w:sz w:val="24"/>
          <w:szCs w:val="24"/>
        </w:rPr>
        <w:t>banco.read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hacia un recurso de lectura: HTTP 200.</w:t>
      </w:r>
    </w:p>
    <w:p w14:paraId="208B643E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Token sin el </w:t>
      </w:r>
      <w:proofErr w:type="spellStart"/>
      <w:r w:rsidRPr="00F27332">
        <w:rPr>
          <w:rFonts w:ascii="Arial" w:hAnsi="Arial" w:cs="Arial"/>
          <w:sz w:val="24"/>
          <w:szCs w:val="24"/>
        </w:rPr>
        <w:t>scope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requerido: HTTP 403.</w:t>
      </w:r>
    </w:p>
    <w:p w14:paraId="1E915380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Operaciones de escritura del ATM requieren </w:t>
      </w:r>
      <w:proofErr w:type="spellStart"/>
      <w:r w:rsidRPr="00F27332">
        <w:rPr>
          <w:rFonts w:ascii="Arial" w:hAnsi="Arial" w:cs="Arial"/>
          <w:sz w:val="24"/>
          <w:szCs w:val="24"/>
        </w:rPr>
        <w:t>banco.write</w:t>
      </w:r>
      <w:proofErr w:type="spellEnd"/>
      <w:r w:rsidRPr="00F27332">
        <w:rPr>
          <w:rFonts w:ascii="Arial" w:hAnsi="Arial" w:cs="Arial"/>
          <w:sz w:val="24"/>
          <w:szCs w:val="24"/>
        </w:rPr>
        <w:t>.</w:t>
      </w:r>
    </w:p>
    <w:p w14:paraId="483D1916" w14:textId="77777777" w:rsidR="00F27332" w:rsidRPr="00F27332" w:rsidRDefault="00F27332" w:rsidP="00F27332">
      <w:pPr>
        <w:pStyle w:val="Ttulo1"/>
      </w:pPr>
      <w:r w:rsidRPr="00F27332">
        <w:t>5. Service Discovery y mejora aplicada</w:t>
      </w:r>
    </w:p>
    <w:p w14:paraId="6AF834AF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Como mejora respecto de la retroalimentación anterior, los BFF ya no dependen de una URL fija para localizar Core Banco. Se utiliza Eureka como registro de servicios y Spring Cloud </w:t>
      </w:r>
      <w:proofErr w:type="spellStart"/>
      <w:r w:rsidRPr="00F27332">
        <w:rPr>
          <w:rFonts w:ascii="Arial" w:hAnsi="Arial" w:cs="Arial"/>
          <w:sz w:val="24"/>
          <w:szCs w:val="24"/>
        </w:rPr>
        <w:t>LoadBalancer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con el nombre lógico http://core-banco. Esto reduce el acoplamiento de red y permite resolver dinámicamente las instancias registradas.</w:t>
      </w:r>
    </w:p>
    <w:p w14:paraId="4F0A19A8" w14:textId="77777777" w:rsidR="00F27332" w:rsidRPr="00F27332" w:rsidRDefault="00F27332" w:rsidP="00F27332">
      <w:pPr>
        <w:pStyle w:val="Ttulo1"/>
      </w:pPr>
      <w:r w:rsidRPr="00F27332">
        <w:t>6. Resiliencia con Resilience4j</w:t>
      </w:r>
    </w:p>
    <w:p w14:paraId="51871414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Los BFF incorporan </w:t>
      </w:r>
      <w:proofErr w:type="spellStart"/>
      <w:r w:rsidRPr="00F27332">
        <w:rPr>
          <w:rFonts w:ascii="Arial" w:hAnsi="Arial" w:cs="Arial"/>
          <w:sz w:val="24"/>
          <w:szCs w:val="24"/>
        </w:rPr>
        <w:t>Circuit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Breaker con Resilience4j en sus llamadas al Core. La evidencia de ejecución demuestra el comportamiento normal, el </w:t>
      </w:r>
      <w:proofErr w:type="spellStart"/>
      <w:r w:rsidRPr="00F27332">
        <w:rPr>
          <w:rFonts w:ascii="Arial" w:hAnsi="Arial" w:cs="Arial"/>
          <w:sz w:val="24"/>
          <w:szCs w:val="24"/>
        </w:rPr>
        <w:t>fallback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con Core Banco detenido y la recuperación posterior cuando el servicio vuelve a estar disponible.</w:t>
      </w:r>
    </w:p>
    <w:p w14:paraId="461A1922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La guía de aprendizaje también presenta </w:t>
      </w:r>
      <w:proofErr w:type="spellStart"/>
      <w:r w:rsidRPr="00F27332">
        <w:rPr>
          <w:rFonts w:ascii="Arial" w:hAnsi="Arial" w:cs="Arial"/>
          <w:sz w:val="24"/>
          <w:szCs w:val="24"/>
        </w:rPr>
        <w:t>Retry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7332">
        <w:rPr>
          <w:rFonts w:ascii="Arial" w:hAnsi="Arial" w:cs="Arial"/>
          <w:sz w:val="24"/>
          <w:szCs w:val="24"/>
        </w:rPr>
        <w:t>Policies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F27332">
        <w:rPr>
          <w:rFonts w:ascii="Arial" w:hAnsi="Arial" w:cs="Arial"/>
          <w:sz w:val="24"/>
          <w:szCs w:val="24"/>
        </w:rPr>
        <w:t>Bulkheads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. En esta implementación, el mecanismo desarrollado y evidenciado para tolerancia a fallos es </w:t>
      </w:r>
      <w:proofErr w:type="spellStart"/>
      <w:r w:rsidRPr="00F27332">
        <w:rPr>
          <w:rFonts w:ascii="Arial" w:hAnsi="Arial" w:cs="Arial"/>
          <w:sz w:val="24"/>
          <w:szCs w:val="24"/>
        </w:rPr>
        <w:t>Circuit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Breaker con </w:t>
      </w:r>
      <w:proofErr w:type="spellStart"/>
      <w:r w:rsidRPr="00F27332">
        <w:rPr>
          <w:rFonts w:ascii="Arial" w:hAnsi="Arial" w:cs="Arial"/>
          <w:sz w:val="24"/>
          <w:szCs w:val="24"/>
        </w:rPr>
        <w:t>fallback</w:t>
      </w:r>
      <w:proofErr w:type="spellEnd"/>
      <w:r w:rsidRPr="00F27332">
        <w:rPr>
          <w:rFonts w:ascii="Arial" w:hAnsi="Arial" w:cs="Arial"/>
          <w:sz w:val="24"/>
          <w:szCs w:val="24"/>
        </w:rPr>
        <w:t>.</w:t>
      </w:r>
    </w:p>
    <w:p w14:paraId="72430D55" w14:textId="77777777" w:rsidR="00F27332" w:rsidRPr="00F27332" w:rsidRDefault="00F27332" w:rsidP="00F27332">
      <w:pPr>
        <w:pStyle w:val="Ttulo1"/>
      </w:pPr>
      <w:r w:rsidRPr="00F27332">
        <w:t>7. Mensajería asíncrona con Kafka</w:t>
      </w:r>
    </w:p>
    <w:p w14:paraId="116369DF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El retiro ATM utiliza una arquitectura orientada a eventos. </w:t>
      </w:r>
      <w:proofErr w:type="spellStart"/>
      <w:r w:rsidRPr="00F27332">
        <w:rPr>
          <w:rFonts w:ascii="Arial" w:hAnsi="Arial" w:cs="Arial"/>
          <w:sz w:val="24"/>
          <w:szCs w:val="24"/>
        </w:rPr>
        <w:t>bff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-atm publica RETIRO_SOLICITADO en </w:t>
      </w:r>
      <w:proofErr w:type="spellStart"/>
      <w:r w:rsidRPr="00F27332">
        <w:rPr>
          <w:rFonts w:ascii="Arial" w:hAnsi="Arial" w:cs="Arial"/>
          <w:sz w:val="24"/>
          <w:szCs w:val="24"/>
        </w:rPr>
        <w:t>banco.retiros.solicitados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27332">
        <w:rPr>
          <w:rFonts w:ascii="Arial" w:hAnsi="Arial" w:cs="Arial"/>
          <w:sz w:val="24"/>
          <w:szCs w:val="24"/>
        </w:rPr>
        <w:t>core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-banco consume el evento, procesa la operación y publica el resultado en </w:t>
      </w:r>
      <w:proofErr w:type="spellStart"/>
      <w:r w:rsidRPr="00F27332">
        <w:rPr>
          <w:rFonts w:ascii="Arial" w:hAnsi="Arial" w:cs="Arial"/>
          <w:sz w:val="24"/>
          <w:szCs w:val="24"/>
        </w:rPr>
        <w:t>banco.retiros.resultados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27332">
        <w:rPr>
          <w:rFonts w:ascii="Arial" w:hAnsi="Arial" w:cs="Arial"/>
          <w:sz w:val="24"/>
          <w:szCs w:val="24"/>
        </w:rPr>
        <w:t>bff</w:t>
      </w:r>
      <w:proofErr w:type="spellEnd"/>
      <w:r w:rsidRPr="00F27332">
        <w:rPr>
          <w:rFonts w:ascii="Arial" w:hAnsi="Arial" w:cs="Arial"/>
          <w:sz w:val="24"/>
          <w:szCs w:val="24"/>
        </w:rPr>
        <w:t>-atm consume ese resultado y permite consultar el estado final de la transacción.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3307"/>
        <w:gridCol w:w="3308"/>
      </w:tblGrid>
      <w:tr w:rsidR="00F27332" w:rsidRPr="00F27332" w14:paraId="63C107B2" w14:textId="77777777" w:rsidTr="00557E13">
        <w:trPr>
          <w:jc w:val="center"/>
        </w:trPr>
        <w:tc>
          <w:tcPr>
            <w:tcW w:w="3312" w:type="dxa"/>
          </w:tcPr>
          <w:p w14:paraId="2DE14A62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Tópico</w:t>
            </w:r>
          </w:p>
        </w:tc>
        <w:tc>
          <w:tcPr>
            <w:tcW w:w="3312" w:type="dxa"/>
          </w:tcPr>
          <w:p w14:paraId="36EF582F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Particiones</w:t>
            </w:r>
          </w:p>
        </w:tc>
        <w:tc>
          <w:tcPr>
            <w:tcW w:w="3312" w:type="dxa"/>
          </w:tcPr>
          <w:p w14:paraId="1716E0F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Uso</w:t>
            </w:r>
          </w:p>
        </w:tc>
      </w:tr>
      <w:tr w:rsidR="00F27332" w:rsidRPr="00F27332" w14:paraId="5E662E53" w14:textId="77777777" w:rsidTr="00557E13">
        <w:trPr>
          <w:jc w:val="center"/>
        </w:trPr>
        <w:tc>
          <w:tcPr>
            <w:tcW w:w="3312" w:type="dxa"/>
          </w:tcPr>
          <w:p w14:paraId="7F5118B1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banco.retiros.solicitados</w:t>
            </w:r>
            <w:proofErr w:type="spellEnd"/>
          </w:p>
        </w:tc>
        <w:tc>
          <w:tcPr>
            <w:tcW w:w="3312" w:type="dxa"/>
          </w:tcPr>
          <w:p w14:paraId="652D471E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3</w:t>
            </w:r>
          </w:p>
        </w:tc>
        <w:tc>
          <w:tcPr>
            <w:tcW w:w="3312" w:type="dxa"/>
          </w:tcPr>
          <w:p w14:paraId="150E3DD1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Solicitudes de retiro ATM.</w:t>
            </w:r>
          </w:p>
        </w:tc>
      </w:tr>
      <w:tr w:rsidR="00F27332" w:rsidRPr="00F27332" w14:paraId="702ACA6B" w14:textId="77777777" w:rsidTr="00557E13">
        <w:trPr>
          <w:jc w:val="center"/>
        </w:trPr>
        <w:tc>
          <w:tcPr>
            <w:tcW w:w="3312" w:type="dxa"/>
          </w:tcPr>
          <w:p w14:paraId="110C1739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banco.retiros.resultados</w:t>
            </w:r>
            <w:proofErr w:type="spellEnd"/>
          </w:p>
        </w:tc>
        <w:tc>
          <w:tcPr>
            <w:tcW w:w="3312" w:type="dxa"/>
          </w:tcPr>
          <w:p w14:paraId="17E39CDB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3</w:t>
            </w:r>
          </w:p>
        </w:tc>
        <w:tc>
          <w:tcPr>
            <w:tcW w:w="3312" w:type="dxa"/>
          </w:tcPr>
          <w:p w14:paraId="12054B6A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Resultado aprobado o rechazado.</w:t>
            </w:r>
          </w:p>
        </w:tc>
      </w:tr>
      <w:tr w:rsidR="00F27332" w:rsidRPr="00F27332" w14:paraId="742D5F4B" w14:textId="77777777" w:rsidTr="00557E13">
        <w:trPr>
          <w:jc w:val="center"/>
        </w:trPr>
        <w:tc>
          <w:tcPr>
            <w:tcW w:w="3312" w:type="dxa"/>
          </w:tcPr>
          <w:p w14:paraId="34A44B74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banco.retiros.dlt</w:t>
            </w:r>
            <w:proofErr w:type="spellEnd"/>
          </w:p>
        </w:tc>
        <w:tc>
          <w:tcPr>
            <w:tcW w:w="3312" w:type="dxa"/>
          </w:tcPr>
          <w:p w14:paraId="1DEF803A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3</w:t>
            </w:r>
          </w:p>
        </w:tc>
        <w:tc>
          <w:tcPr>
            <w:tcW w:w="3312" w:type="dxa"/>
          </w:tcPr>
          <w:p w14:paraId="0816F7CE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Tópico reservado para eventos no procesables.</w:t>
            </w:r>
          </w:p>
        </w:tc>
      </w:tr>
    </w:tbl>
    <w:p w14:paraId="0BADA8B3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La clave </w:t>
      </w:r>
      <w:proofErr w:type="spellStart"/>
      <w:r w:rsidRPr="00F27332">
        <w:rPr>
          <w:rFonts w:ascii="Arial" w:hAnsi="Arial" w:cs="Arial"/>
          <w:sz w:val="24"/>
          <w:szCs w:val="24"/>
        </w:rPr>
        <w:t>cuentaId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permite conservar orden para una misma cuenta y distribuir cuentas distintas entre particiones. La configuración de tres consumidores concurrentes permite aprovechar las tres particiones.</w:t>
      </w:r>
    </w:p>
    <w:p w14:paraId="202D9699" w14:textId="77777777" w:rsidR="00F27332" w:rsidRPr="00F27332" w:rsidRDefault="00F27332" w:rsidP="00F27332">
      <w:pPr>
        <w:pStyle w:val="Ttulo2"/>
      </w:pPr>
      <w:r w:rsidRPr="00F27332">
        <w:t>7.1 Consistencia del saldo ATM por eventos Kafka</w:t>
      </w:r>
    </w:p>
    <w:p w14:paraId="0FF72E92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Como mejora derivada de la retroalimentación de la Semana 7, el BFF ATM sincroniza su saldo almacenado en memoria cada vez que recibe un resultado de retiro desde Kafka. El </w:t>
      </w:r>
      <w:proofErr w:type="spellStart"/>
      <w:r w:rsidRPr="00F27332">
        <w:rPr>
          <w:rFonts w:ascii="Arial" w:hAnsi="Arial" w:cs="Arial"/>
          <w:sz w:val="24"/>
          <w:szCs w:val="24"/>
        </w:rPr>
        <w:t>saldoFinal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informado por Core Banco se utiliza como valor autoritativo y actualiza la caché local, evitando que una consulta posterior reutilice un saldo anterior al retiro.</w:t>
      </w:r>
    </w:p>
    <w:p w14:paraId="18C2595A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La lógica se separó en </w:t>
      </w:r>
      <w:proofErr w:type="spellStart"/>
      <w:r w:rsidRPr="00F27332">
        <w:rPr>
          <w:rFonts w:ascii="Arial" w:hAnsi="Arial" w:cs="Arial"/>
          <w:sz w:val="24"/>
          <w:szCs w:val="24"/>
        </w:rPr>
        <w:t>SaldoCuentaService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27332">
        <w:rPr>
          <w:rFonts w:ascii="Arial" w:hAnsi="Arial" w:cs="Arial"/>
          <w:sz w:val="24"/>
          <w:szCs w:val="24"/>
        </w:rPr>
        <w:t>AtmService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utiliza este servicio para cargar y consultar el último saldo conocido, mientras que </w:t>
      </w:r>
      <w:proofErr w:type="spellStart"/>
      <w:r w:rsidRPr="00F27332">
        <w:rPr>
          <w:rFonts w:ascii="Arial" w:hAnsi="Arial" w:cs="Arial"/>
          <w:sz w:val="24"/>
          <w:szCs w:val="24"/>
        </w:rPr>
        <w:t>RetiroResultadoConsumer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lo actualiza cuando consume </w:t>
      </w:r>
      <w:proofErr w:type="spellStart"/>
      <w:r w:rsidRPr="00F27332">
        <w:rPr>
          <w:rFonts w:ascii="Arial" w:hAnsi="Arial" w:cs="Arial"/>
          <w:sz w:val="24"/>
          <w:szCs w:val="24"/>
        </w:rPr>
        <w:t>banco.retiros.resultados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. Además, se incorporaron pruebas unitarias y un script de validación </w:t>
      </w:r>
      <w:proofErr w:type="spellStart"/>
      <w:r w:rsidRPr="00F27332">
        <w:rPr>
          <w:rFonts w:ascii="Arial" w:hAnsi="Arial" w:cs="Arial"/>
          <w:sz w:val="24"/>
          <w:szCs w:val="24"/>
        </w:rPr>
        <w:t>end-to-end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para comprobar que el saldo consultado por ATM coincide con </w:t>
      </w:r>
      <w:proofErr w:type="spellStart"/>
      <w:r w:rsidRPr="00F27332">
        <w:rPr>
          <w:rFonts w:ascii="Arial" w:hAnsi="Arial" w:cs="Arial"/>
          <w:sz w:val="24"/>
          <w:szCs w:val="24"/>
        </w:rPr>
        <w:t>saldoFinal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después de un retiro procesado.</w:t>
      </w:r>
    </w:p>
    <w:p w14:paraId="72EAA204" w14:textId="77777777" w:rsidR="00F27332" w:rsidRPr="00F27332" w:rsidRDefault="00F27332" w:rsidP="00F27332">
      <w:pPr>
        <w:pStyle w:val="Ttulo1"/>
      </w:pPr>
      <w:r w:rsidRPr="00F27332">
        <w:t>8. Contenerización y orquestación</w:t>
      </w:r>
    </w:p>
    <w:p w14:paraId="2E5668DE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Todos los microservicios propios poseen una imagen Docker funcional. El archivo </w:t>
      </w:r>
      <w:proofErr w:type="spellStart"/>
      <w:r w:rsidRPr="00F27332">
        <w:rPr>
          <w:rFonts w:ascii="Arial" w:hAnsi="Arial" w:cs="Arial"/>
          <w:sz w:val="24"/>
          <w:szCs w:val="24"/>
        </w:rPr>
        <w:t>docker-compose.yml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orquesta </w:t>
      </w:r>
      <w:proofErr w:type="spellStart"/>
      <w:r w:rsidRPr="00F27332">
        <w:rPr>
          <w:rFonts w:ascii="Arial" w:hAnsi="Arial" w:cs="Arial"/>
          <w:sz w:val="24"/>
          <w:szCs w:val="24"/>
        </w:rPr>
        <w:t>Config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Server, Eureka, Auth Server, Core Banco, los tres BFF, Kafka y un contenedor auxiliar que crea los tópicos requeridos. La ejecución final mostró las siete imágenes propias construidas y los servicios principales en estado Up.</w:t>
      </w:r>
    </w:p>
    <w:p w14:paraId="4401D867" w14:textId="77777777" w:rsidR="00F27332" w:rsidRPr="00F27332" w:rsidRDefault="00F27332" w:rsidP="00F27332">
      <w:pPr>
        <w:pStyle w:val="Ttulo1"/>
      </w:pPr>
      <w:r w:rsidRPr="00F27332">
        <w:t>9. Evidencias de funcionamiento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6"/>
        <w:gridCol w:w="3310"/>
      </w:tblGrid>
      <w:tr w:rsidR="00F27332" w:rsidRPr="00F27332" w14:paraId="519F9C60" w14:textId="77777777" w:rsidTr="00557E13">
        <w:trPr>
          <w:cantSplit/>
          <w:tblHeader/>
          <w:jc w:val="center"/>
        </w:trPr>
        <w:tc>
          <w:tcPr>
            <w:tcW w:w="3312" w:type="dxa"/>
          </w:tcPr>
          <w:p w14:paraId="15D7B36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Área</w:t>
            </w:r>
          </w:p>
        </w:tc>
        <w:tc>
          <w:tcPr>
            <w:tcW w:w="3312" w:type="dxa"/>
          </w:tcPr>
          <w:p w14:paraId="0F0A0A94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Evidencias</w:t>
            </w:r>
          </w:p>
        </w:tc>
        <w:tc>
          <w:tcPr>
            <w:tcW w:w="3312" w:type="dxa"/>
          </w:tcPr>
          <w:p w14:paraId="0F447DED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Comprobación</w:t>
            </w:r>
          </w:p>
        </w:tc>
      </w:tr>
      <w:tr w:rsidR="00F27332" w:rsidRPr="00F27332" w14:paraId="2DF54EEB" w14:textId="77777777" w:rsidTr="00557E13">
        <w:trPr>
          <w:cantSplit/>
          <w:jc w:val="center"/>
        </w:trPr>
        <w:tc>
          <w:tcPr>
            <w:tcW w:w="3312" w:type="dxa"/>
          </w:tcPr>
          <w:p w14:paraId="733F0050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OAuth2</w:t>
            </w:r>
          </w:p>
        </w:tc>
        <w:tc>
          <w:tcPr>
            <w:tcW w:w="3312" w:type="dxa"/>
          </w:tcPr>
          <w:p w14:paraId="52FBFD6A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01-04</w:t>
            </w:r>
          </w:p>
        </w:tc>
        <w:tc>
          <w:tcPr>
            <w:tcW w:w="3312" w:type="dxa"/>
          </w:tcPr>
          <w:p w14:paraId="2835AB31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Emisión de JWT, acceso autorizado, 401 sin token y 403 por </w:t>
            </w: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scope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</w:tc>
      </w:tr>
      <w:tr w:rsidR="00F27332" w:rsidRPr="00F27332" w14:paraId="0719C72E" w14:textId="77777777" w:rsidTr="00557E13">
        <w:trPr>
          <w:cantSplit/>
          <w:jc w:val="center"/>
        </w:trPr>
        <w:tc>
          <w:tcPr>
            <w:tcW w:w="3312" w:type="dxa"/>
          </w:tcPr>
          <w:p w14:paraId="36E1583A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LoadBalancer</w:t>
            </w:r>
            <w:proofErr w:type="spellEnd"/>
          </w:p>
        </w:tc>
        <w:tc>
          <w:tcPr>
            <w:tcW w:w="3312" w:type="dxa"/>
          </w:tcPr>
          <w:p w14:paraId="7E026E27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05-07</w:t>
            </w:r>
          </w:p>
        </w:tc>
        <w:tc>
          <w:tcPr>
            <w:tcW w:w="3312" w:type="dxa"/>
          </w:tcPr>
          <w:p w14:paraId="3E48BA24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BFF Web, Mobile y ATM integrados con Core Banco.</w:t>
            </w:r>
          </w:p>
        </w:tc>
      </w:tr>
      <w:tr w:rsidR="00F27332" w:rsidRPr="00F27332" w14:paraId="0CA924AA" w14:textId="77777777" w:rsidTr="00557E13">
        <w:trPr>
          <w:cantSplit/>
          <w:jc w:val="center"/>
        </w:trPr>
        <w:tc>
          <w:tcPr>
            <w:tcW w:w="3312" w:type="dxa"/>
          </w:tcPr>
          <w:p w14:paraId="02FAE9DC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Kafka</w:t>
            </w:r>
          </w:p>
        </w:tc>
        <w:tc>
          <w:tcPr>
            <w:tcW w:w="3312" w:type="dxa"/>
          </w:tcPr>
          <w:p w14:paraId="6EEA4E99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08-11</w:t>
            </w:r>
          </w:p>
        </w:tc>
        <w:tc>
          <w:tcPr>
            <w:tcW w:w="3312" w:type="dxa"/>
          </w:tcPr>
          <w:p w14:paraId="2DD62DD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Solicitud, procesamiento y estado final del retiro.</w:t>
            </w:r>
          </w:p>
        </w:tc>
      </w:tr>
      <w:tr w:rsidR="00F27332" w:rsidRPr="00F27332" w14:paraId="5E96DC26" w14:textId="77777777" w:rsidTr="00557E13">
        <w:trPr>
          <w:cantSplit/>
          <w:jc w:val="center"/>
        </w:trPr>
        <w:tc>
          <w:tcPr>
            <w:tcW w:w="3312" w:type="dxa"/>
          </w:tcPr>
          <w:p w14:paraId="4FF050E5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Config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/Eureka/Docker</w:t>
            </w:r>
          </w:p>
        </w:tc>
        <w:tc>
          <w:tcPr>
            <w:tcW w:w="3312" w:type="dxa"/>
          </w:tcPr>
          <w:p w14:paraId="515C3170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12-16</w:t>
            </w:r>
          </w:p>
        </w:tc>
        <w:tc>
          <w:tcPr>
            <w:tcW w:w="3312" w:type="dxa"/>
          </w:tcPr>
          <w:p w14:paraId="58E18421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Config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Server, contenedores y registro de servicios.</w:t>
            </w:r>
          </w:p>
        </w:tc>
      </w:tr>
      <w:tr w:rsidR="00F27332" w:rsidRPr="00F27332" w14:paraId="0E933869" w14:textId="77777777" w:rsidTr="00557E13">
        <w:trPr>
          <w:cantSplit/>
          <w:jc w:val="center"/>
        </w:trPr>
        <w:tc>
          <w:tcPr>
            <w:tcW w:w="3312" w:type="dxa"/>
          </w:tcPr>
          <w:p w14:paraId="5C8888CD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Compose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integral</w:t>
            </w:r>
          </w:p>
        </w:tc>
        <w:tc>
          <w:tcPr>
            <w:tcW w:w="3312" w:type="dxa"/>
          </w:tcPr>
          <w:p w14:paraId="7CF508FF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17-20</w:t>
            </w:r>
          </w:p>
        </w:tc>
        <w:tc>
          <w:tcPr>
            <w:tcW w:w="3312" w:type="dxa"/>
          </w:tcPr>
          <w:p w14:paraId="5F670763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OAuth2 + BFF + Core y flujo ATM dentro del </w:t>
            </w: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stack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final.</w:t>
            </w:r>
          </w:p>
        </w:tc>
      </w:tr>
      <w:tr w:rsidR="00F27332" w:rsidRPr="00F27332" w14:paraId="7FD54711" w14:textId="77777777" w:rsidTr="00557E13">
        <w:trPr>
          <w:cantSplit/>
          <w:jc w:val="center"/>
        </w:trPr>
        <w:tc>
          <w:tcPr>
            <w:tcW w:w="3312" w:type="dxa"/>
          </w:tcPr>
          <w:p w14:paraId="40E7C6A5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Resilience4j</w:t>
            </w:r>
          </w:p>
        </w:tc>
        <w:tc>
          <w:tcPr>
            <w:tcW w:w="3312" w:type="dxa"/>
          </w:tcPr>
          <w:p w14:paraId="16BC921E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21-22</w:t>
            </w:r>
          </w:p>
        </w:tc>
        <w:tc>
          <w:tcPr>
            <w:tcW w:w="3312" w:type="dxa"/>
          </w:tcPr>
          <w:p w14:paraId="5B3E4B22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Fallback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con Core apagado y recuperación posterior.</w:t>
            </w:r>
          </w:p>
        </w:tc>
      </w:tr>
      <w:tr w:rsidR="00F27332" w:rsidRPr="00F27332" w14:paraId="06CEAA3C" w14:textId="77777777" w:rsidTr="00557E13">
        <w:trPr>
          <w:cantSplit/>
          <w:jc w:val="center"/>
        </w:trPr>
        <w:tc>
          <w:tcPr>
            <w:tcW w:w="3312" w:type="dxa"/>
          </w:tcPr>
          <w:p w14:paraId="341450B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Escalabilidad Kafka</w:t>
            </w:r>
          </w:p>
        </w:tc>
        <w:tc>
          <w:tcPr>
            <w:tcW w:w="3312" w:type="dxa"/>
          </w:tcPr>
          <w:p w14:paraId="0A692193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23</w:t>
            </w:r>
          </w:p>
        </w:tc>
        <w:tc>
          <w:tcPr>
            <w:tcW w:w="3312" w:type="dxa"/>
          </w:tcPr>
          <w:p w14:paraId="7E39B481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Topic </w:t>
            </w: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banco.retiros.solicitados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con tres particiones.</w:t>
            </w:r>
          </w:p>
        </w:tc>
      </w:tr>
      <w:tr w:rsidR="00F27332" w:rsidRPr="00F27332" w14:paraId="0114F9CC" w14:textId="77777777" w:rsidTr="00557E13">
        <w:trPr>
          <w:jc w:val="center"/>
        </w:trPr>
        <w:tc>
          <w:tcPr>
            <w:tcW w:w="3312" w:type="dxa"/>
          </w:tcPr>
          <w:p w14:paraId="41656C88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Consistencia saldo ATM</w:t>
            </w:r>
          </w:p>
        </w:tc>
        <w:tc>
          <w:tcPr>
            <w:tcW w:w="3312" w:type="dxa"/>
          </w:tcPr>
          <w:p w14:paraId="6B0161BD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24</w:t>
            </w:r>
          </w:p>
        </w:tc>
        <w:tc>
          <w:tcPr>
            <w:tcW w:w="3312" w:type="dxa"/>
          </w:tcPr>
          <w:p w14:paraId="2F0F82AD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Retiro aprobado 8000 -&gt; 7000 y sincronización del saldo en memoria con </w:t>
            </w: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saldoFinal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recibido desde Kafka.</w:t>
            </w:r>
          </w:p>
        </w:tc>
      </w:tr>
    </w:tbl>
    <w:p w14:paraId="45C3EC1D" w14:textId="77777777" w:rsidR="00F27332" w:rsidRDefault="00F27332" w:rsidP="00F27332">
      <w:pPr>
        <w:rPr>
          <w:rFonts w:ascii="Arial" w:hAnsi="Arial" w:cs="Arial"/>
          <w:sz w:val="24"/>
          <w:szCs w:val="24"/>
        </w:rPr>
      </w:pPr>
    </w:p>
    <w:p w14:paraId="1CBFBD83" w14:textId="5360DB25" w:rsidR="00F27332" w:rsidRPr="00F27332" w:rsidRDefault="00F27332" w:rsidP="00F27332">
      <w:pPr>
        <w:pStyle w:val="Ttulo1"/>
      </w:pPr>
      <w:r w:rsidRPr="00F27332">
        <w:t>10. Relación con la pauta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27332" w:rsidRPr="00F27332" w14:paraId="03AC8498" w14:textId="77777777" w:rsidTr="00557E13">
        <w:trPr>
          <w:jc w:val="center"/>
        </w:trPr>
        <w:tc>
          <w:tcPr>
            <w:tcW w:w="4968" w:type="dxa"/>
          </w:tcPr>
          <w:p w14:paraId="02D5F920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Criterio</w:t>
            </w:r>
          </w:p>
        </w:tc>
        <w:tc>
          <w:tcPr>
            <w:tcW w:w="4968" w:type="dxa"/>
          </w:tcPr>
          <w:p w14:paraId="65C2F7E2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Cómo se aborda</w:t>
            </w:r>
          </w:p>
        </w:tc>
      </w:tr>
      <w:tr w:rsidR="00F27332" w:rsidRPr="00F27332" w14:paraId="7AFC518B" w14:textId="77777777" w:rsidTr="00557E13">
        <w:trPr>
          <w:jc w:val="center"/>
        </w:trPr>
        <w:tc>
          <w:tcPr>
            <w:tcW w:w="4968" w:type="dxa"/>
          </w:tcPr>
          <w:p w14:paraId="0C6761BC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OAuth2.0</w:t>
            </w:r>
          </w:p>
        </w:tc>
        <w:tc>
          <w:tcPr>
            <w:tcW w:w="4968" w:type="dxa"/>
          </w:tcPr>
          <w:p w14:paraId="751D2AB5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Authorization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Server funcional, JWT, </w:t>
            </w: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scopes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de lectura/escritura y recursos protegidos.</w:t>
            </w:r>
          </w:p>
        </w:tc>
      </w:tr>
      <w:tr w:rsidR="00F27332" w:rsidRPr="00F27332" w14:paraId="504BD0D9" w14:textId="77777777" w:rsidTr="00557E13">
        <w:trPr>
          <w:jc w:val="center"/>
        </w:trPr>
        <w:tc>
          <w:tcPr>
            <w:tcW w:w="4968" w:type="dxa"/>
          </w:tcPr>
          <w:p w14:paraId="3CD14200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Imágenes Docker</w:t>
            </w:r>
          </w:p>
        </w:tc>
        <w:tc>
          <w:tcPr>
            <w:tcW w:w="4968" w:type="dxa"/>
          </w:tcPr>
          <w:p w14:paraId="42DDC142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Dockerfiles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funcionales para todos los microservicios propios.</w:t>
            </w:r>
          </w:p>
        </w:tc>
      </w:tr>
      <w:tr w:rsidR="00F27332" w:rsidRPr="00F27332" w14:paraId="1A391EB8" w14:textId="77777777" w:rsidTr="00557E13">
        <w:trPr>
          <w:jc w:val="center"/>
        </w:trPr>
        <w:tc>
          <w:tcPr>
            <w:tcW w:w="4968" w:type="dxa"/>
          </w:tcPr>
          <w:p w14:paraId="079806CD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Docker </w:t>
            </w: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Compose</w:t>
            </w:r>
            <w:proofErr w:type="spellEnd"/>
          </w:p>
        </w:tc>
        <w:tc>
          <w:tcPr>
            <w:tcW w:w="4968" w:type="dxa"/>
          </w:tcPr>
          <w:p w14:paraId="6E49A483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Orquestación integral de todos los componentes requeridos.</w:t>
            </w:r>
          </w:p>
        </w:tc>
      </w:tr>
      <w:tr w:rsidR="00F27332" w:rsidRPr="00F27332" w14:paraId="5C18CC01" w14:textId="77777777" w:rsidTr="00557E13">
        <w:trPr>
          <w:jc w:val="center"/>
        </w:trPr>
        <w:tc>
          <w:tcPr>
            <w:tcW w:w="4968" w:type="dxa"/>
          </w:tcPr>
          <w:p w14:paraId="1C5C2654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Resilience4j</w:t>
            </w:r>
          </w:p>
        </w:tc>
        <w:tc>
          <w:tcPr>
            <w:tcW w:w="4968" w:type="dxa"/>
          </w:tcPr>
          <w:p w14:paraId="163721CF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Circuit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Breaker con </w:t>
            </w:r>
            <w:proofErr w:type="spellStart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fallback</w:t>
            </w:r>
            <w:proofErr w:type="spellEnd"/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 xml:space="preserve"> y recuperación comprobados.</w:t>
            </w:r>
          </w:p>
        </w:tc>
      </w:tr>
      <w:tr w:rsidR="00F27332" w:rsidRPr="00F27332" w14:paraId="21044C68" w14:textId="77777777" w:rsidTr="00557E13">
        <w:trPr>
          <w:jc w:val="center"/>
        </w:trPr>
        <w:tc>
          <w:tcPr>
            <w:tcW w:w="4968" w:type="dxa"/>
          </w:tcPr>
          <w:p w14:paraId="3E5718FB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Kafka/JMS</w:t>
            </w:r>
          </w:p>
        </w:tc>
        <w:tc>
          <w:tcPr>
            <w:tcW w:w="4968" w:type="dxa"/>
          </w:tcPr>
          <w:p w14:paraId="2E662E20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Kafka funcional, flujo asíncrono de retiro, tres particiones y sincronización del saldo ATM mediante eventos de resultado.</w:t>
            </w:r>
          </w:p>
        </w:tc>
      </w:tr>
      <w:tr w:rsidR="00F27332" w:rsidRPr="00F27332" w14:paraId="42E2042B" w14:textId="77777777" w:rsidTr="00557E13">
        <w:trPr>
          <w:jc w:val="center"/>
        </w:trPr>
        <w:tc>
          <w:tcPr>
            <w:tcW w:w="4968" w:type="dxa"/>
          </w:tcPr>
          <w:p w14:paraId="3CF3EFE6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Entrega</w:t>
            </w:r>
          </w:p>
        </w:tc>
        <w:tc>
          <w:tcPr>
            <w:tcW w:w="4968" w:type="dxa"/>
          </w:tcPr>
          <w:p w14:paraId="75471448" w14:textId="77777777" w:rsidR="00F27332" w:rsidRPr="00F27332" w:rsidRDefault="00F27332" w:rsidP="00557E13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F27332">
              <w:rPr>
                <w:rFonts w:ascii="Arial" w:hAnsi="Arial" w:cs="Arial"/>
                <w:sz w:val="24"/>
                <w:szCs w:val="24"/>
                <w:lang w:val="es-CL"/>
              </w:rPr>
              <w:t>Código fuente, README, propuesta técnica y 24 evidencias organizadas.</w:t>
            </w:r>
          </w:p>
        </w:tc>
      </w:tr>
    </w:tbl>
    <w:p w14:paraId="7DC56B52" w14:textId="77777777" w:rsidR="00F27332" w:rsidRDefault="00F27332" w:rsidP="00F27332">
      <w:pPr>
        <w:rPr>
          <w:rFonts w:ascii="Arial" w:hAnsi="Arial" w:cs="Arial"/>
          <w:sz w:val="24"/>
          <w:szCs w:val="24"/>
        </w:rPr>
      </w:pPr>
    </w:p>
    <w:p w14:paraId="73C6C2C1" w14:textId="0845EDEE" w:rsidR="00F27332" w:rsidRPr="00F27332" w:rsidRDefault="00F27332" w:rsidP="00F27332">
      <w:pPr>
        <w:pStyle w:val="Ttulo1"/>
      </w:pPr>
      <w:r w:rsidRPr="00F27332">
        <w:t>11. Ejecución</w:t>
      </w:r>
    </w:p>
    <w:p w14:paraId="2B2A5DDA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>Desde la raíz del proyecto:</w:t>
      </w:r>
    </w:p>
    <w:p w14:paraId="135F31DD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proofErr w:type="spellStart"/>
      <w:r w:rsidRPr="00F27332">
        <w:rPr>
          <w:rFonts w:ascii="Arial" w:hAnsi="Arial" w:cs="Arial"/>
          <w:sz w:val="24"/>
          <w:szCs w:val="24"/>
        </w:rPr>
        <w:t>docker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7332">
        <w:rPr>
          <w:rFonts w:ascii="Arial" w:hAnsi="Arial" w:cs="Arial"/>
          <w:sz w:val="24"/>
          <w:szCs w:val="24"/>
        </w:rPr>
        <w:t>compose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up -d --</w:t>
      </w:r>
      <w:proofErr w:type="spellStart"/>
      <w:r w:rsidRPr="00F27332">
        <w:rPr>
          <w:rFonts w:ascii="Arial" w:hAnsi="Arial" w:cs="Arial"/>
          <w:sz w:val="24"/>
          <w:szCs w:val="24"/>
        </w:rPr>
        <w:t>build</w:t>
      </w:r>
      <w:proofErr w:type="spellEnd"/>
    </w:p>
    <w:p w14:paraId="4608B191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>Comprobar el estado:</w:t>
      </w:r>
    </w:p>
    <w:p w14:paraId="5690F00D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proofErr w:type="spellStart"/>
      <w:r w:rsidRPr="00F27332">
        <w:rPr>
          <w:rFonts w:ascii="Arial" w:hAnsi="Arial" w:cs="Arial"/>
          <w:sz w:val="24"/>
          <w:szCs w:val="24"/>
        </w:rPr>
        <w:t>docker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7332">
        <w:rPr>
          <w:rFonts w:ascii="Arial" w:hAnsi="Arial" w:cs="Arial"/>
          <w:sz w:val="24"/>
          <w:szCs w:val="24"/>
        </w:rPr>
        <w:t>compose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7332">
        <w:rPr>
          <w:rFonts w:ascii="Arial" w:hAnsi="Arial" w:cs="Arial"/>
          <w:sz w:val="24"/>
          <w:szCs w:val="24"/>
        </w:rPr>
        <w:t>ps</w:t>
      </w:r>
      <w:proofErr w:type="spellEnd"/>
    </w:p>
    <w:p w14:paraId="1155FD8A" w14:textId="77777777" w:rsidR="00F27332" w:rsidRPr="00F27332" w:rsidRDefault="00F27332" w:rsidP="00F27332">
      <w:pPr>
        <w:pStyle w:val="Ttulo1"/>
      </w:pPr>
      <w:r w:rsidRPr="00F27332">
        <w:t>12. Conclusión</w:t>
      </w:r>
    </w:p>
    <w:p w14:paraId="2AEC504E" w14:textId="77777777" w:rsidR="00F27332" w:rsidRPr="00F27332" w:rsidRDefault="00F27332" w:rsidP="00F27332">
      <w:pPr>
        <w:rPr>
          <w:rFonts w:ascii="Arial" w:hAnsi="Arial" w:cs="Arial"/>
          <w:sz w:val="24"/>
          <w:szCs w:val="24"/>
        </w:rPr>
      </w:pPr>
      <w:r w:rsidRPr="00F27332">
        <w:rPr>
          <w:rFonts w:ascii="Arial" w:hAnsi="Arial" w:cs="Arial"/>
          <w:sz w:val="24"/>
          <w:szCs w:val="24"/>
        </w:rPr>
        <w:t xml:space="preserve">La solución integra los componentes solicitados para la Semana 8 en una arquitectura coherente con la continuidad del proyecto Banco XYZ. El sistema protege servicios mediante OAuth2/JWT, resuelve dinámicamente Core Banco con Eureka y </w:t>
      </w:r>
      <w:proofErr w:type="spellStart"/>
      <w:r w:rsidRPr="00F27332">
        <w:rPr>
          <w:rFonts w:ascii="Arial" w:hAnsi="Arial" w:cs="Arial"/>
          <w:sz w:val="24"/>
          <w:szCs w:val="24"/>
        </w:rPr>
        <w:t>LoadBalancer</w:t>
      </w:r>
      <w:proofErr w:type="spellEnd"/>
      <w:r w:rsidRPr="00F27332">
        <w:rPr>
          <w:rFonts w:ascii="Arial" w:hAnsi="Arial" w:cs="Arial"/>
          <w:sz w:val="24"/>
          <w:szCs w:val="24"/>
        </w:rPr>
        <w:t xml:space="preserve">, mantiene disponibilidad degradada mediante Resilience4j, procesa retiros de forma asíncrona con Kafka y puede levantarse de forma reproducible mediante Docker </w:t>
      </w:r>
      <w:proofErr w:type="spellStart"/>
      <w:r w:rsidRPr="00F27332">
        <w:rPr>
          <w:rFonts w:ascii="Arial" w:hAnsi="Arial" w:cs="Arial"/>
          <w:sz w:val="24"/>
          <w:szCs w:val="24"/>
        </w:rPr>
        <w:t>Compose</w:t>
      </w:r>
      <w:proofErr w:type="spellEnd"/>
      <w:r w:rsidRPr="00F27332">
        <w:rPr>
          <w:rFonts w:ascii="Arial" w:hAnsi="Arial" w:cs="Arial"/>
          <w:sz w:val="24"/>
          <w:szCs w:val="24"/>
        </w:rPr>
        <w:t>, y mantiene sincronizado el saldo del ATM con los resultados de retiro recibidos por Kafka.</w:t>
      </w:r>
    </w:p>
    <w:p w14:paraId="0D40D280" w14:textId="77777777" w:rsidR="00C92F3B" w:rsidRPr="00F27332" w:rsidRDefault="00C92F3B">
      <w:pPr>
        <w:rPr>
          <w:rFonts w:ascii="Arial" w:hAnsi="Arial" w:cs="Arial"/>
          <w:sz w:val="24"/>
          <w:szCs w:val="24"/>
        </w:rPr>
      </w:pPr>
    </w:p>
    <w:sectPr w:rsidR="00C92F3B" w:rsidRPr="00F27332" w:rsidSect="00F27332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32"/>
    <w:rsid w:val="00221E13"/>
    <w:rsid w:val="003F2FB8"/>
    <w:rsid w:val="007E1E80"/>
    <w:rsid w:val="00C3109D"/>
    <w:rsid w:val="00C92F3B"/>
    <w:rsid w:val="00DC105F"/>
    <w:rsid w:val="00F2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02058"/>
  <w15:chartTrackingRefBased/>
  <w15:docId w15:val="{26129A3A-3B5B-4896-9B5D-84024A6D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32"/>
    <w:pPr>
      <w:spacing w:after="200" w:line="276" w:lineRule="auto"/>
    </w:pPr>
    <w:rPr>
      <w:rFonts w:ascii="Aptos" w:eastAsiaTheme="minorEastAsia" w:hAnsi="Aptos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2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3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7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3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3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733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2733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1057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STEVEN CORDOBA ALVAREZ</dc:creator>
  <cp:keywords/>
  <dc:description/>
  <cp:lastModifiedBy>FRANK STEVEN CORDOBA ALVAREZ</cp:lastModifiedBy>
  <cp:revision>1</cp:revision>
  <dcterms:created xsi:type="dcterms:W3CDTF">2026-10-03T00:24:00Z</dcterms:created>
  <dcterms:modified xsi:type="dcterms:W3CDTF">2026-10-03T00:27:00Z</dcterms:modified>
</cp:coreProperties>
</file>