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8.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9.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people.xml" ContentType="application/vnd.openxmlformats-officedocument.wordprocessingml.people+xml"/>
  <Override PartName="/word/fontTable.xml" ContentType="application/vnd.openxmlformats-officedocument.wordprocessingml.fontTable+xml"/>
  <Override PartName="/docMetadata/LabelInfo.xml" ContentType="application/vnd.ms-office.classificationlabel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a="http://schemas.openxmlformats.org/drawingml/2006/main" xmlns:a14="http://schemas.microsoft.com/office/drawing/2010/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page" w:horzAnchor="margin" w:tblpY="6321"/>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89"/>
      </w:tblGrid>
      <w:tr w14:paraId="4B18B74B" w14:textId="77777777">
        <w:tc>
          <w:tcPr>
            <w:tcW w:w="5000" w:type="pct"/>
            <w:vAlign w:val="center"/>
          </w:tcPr>
          <w:p w14:paraId="4B8F14AB" w14:textId="77777777">
            <w:pPr>
              <w:jc w:val="center"/>
              <w:rPr>
                <w:b/>
                <w:sz w:val="72"/>
                <w:szCs w:val="72"/>
                <w:lang w:val="en-GB"/>
              </w:rPr>
            </w:pPr>
            <w:bookmarkStart w:name="_GoBack" w:id="0"/>
            <w:bookmarkEnd w:id="0"/>
            <w:r>
              <w:rPr>
                <w:b/>
                <w:sz w:val="72"/>
                <w:szCs w:val="72"/>
                <w:lang w:val="en-GB"/>
              </w:rPr>
              <w:t>OPINION</w:t>
            </w:r>
          </w:p>
        </w:tc>
      </w:tr>
      <w:tr w14:paraId="428F80C1" w14:textId="77777777">
        <w:trPr>
          <w:trHeight w:val="567"/>
        </w:trPr>
        <w:tc>
          <w:tcPr>
            <w:tcW w:w="5000" w:type="pct"/>
            <w:vAlign w:val="center"/>
          </w:tcPr>
          <w:p w14:paraId="0E3C838D" w14:textId="2E0F4618">
            <w:pPr>
              <w:jc w:val="center"/>
              <w:rPr>
                <w:sz w:val="24"/>
                <w:szCs w:val="24"/>
                <w:lang w:val="en-GB"/>
              </w:rPr>
            </w:pPr>
            <w:r>
              <w:rPr>
                <w:sz w:val="24"/>
                <w:szCs w:val="24"/>
                <w:lang w:val="en-GB"/>
              </w:rPr>
              <w:t>E</w:t>
            </w:r>
            <w:r>
              <w:rPr>
                <w:sz w:val="24"/>
                <w:szCs w:val="24"/>
                <w:lang w:val="en-GB"/>
              </w:rPr>
              <w:t>uropean E</w:t>
            </w:r>
            <w:r>
              <w:rPr>
                <w:sz w:val="24"/>
                <w:szCs w:val="24"/>
                <w:lang w:val="en-GB"/>
              </w:rPr>
              <w:t>conomic and Social Committee</w:t>
            </w:r>
          </w:p>
        </w:tc>
      </w:tr>
      <w:tr w14:paraId="5FCA7EB1" w14:textId="77777777">
        <w:tc>
          <w:tcPr>
            <w:tcW w:w="5000" w:type="pct"/>
            <w:vAlign w:val="center"/>
          </w:tcPr>
          <w:p w14:paraId="164B3F5D" w14:textId="4A222103">
            <w:pPr>
              <w:jc w:val="center"/>
              <w:rPr>
                <w:b/>
                <w:sz w:val="44"/>
                <w:szCs w:val="44"/>
                <w:lang w:val="en-GB"/>
              </w:rPr>
            </w:pPr>
            <w:r>
              <w:rPr>
                <w:b/>
                <w:bCs/>
                <w:sz w:val="44"/>
                <w:szCs w:val="44"/>
                <w:lang w:val="en-GB"/>
              </w:rPr>
              <w:t>Cloud and AI Development Act</w:t>
            </w:r>
          </w:p>
        </w:tc>
      </w:tr>
      <w:tr w14:paraId="0A2CA787" w14:textId="77777777">
        <w:tc>
          <w:tcPr>
            <w:tcW w:w="5000" w:type="pct"/>
            <w:vAlign w:val="center"/>
          </w:tcPr>
          <w:p w14:paraId="766B3712" w14:textId="77777777">
            <w:pPr>
              <w:overflowPunct w:val="0"/>
              <w:autoSpaceDE w:val="0"/>
              <w:autoSpaceDN w:val="0"/>
              <w:adjustRightInd w:val="0"/>
              <w:jc w:val="center"/>
              <w:textAlignment w:val="baseline"/>
              <w:rPr>
                <w:b/>
                <w:position w:val="24"/>
                <w:sz w:val="24"/>
                <w:szCs w:val="24"/>
                <w:lang w:val="en-GB"/>
              </w:rPr>
            </w:pPr>
            <w:r>
              <w:rPr>
                <w:position w:val="24"/>
                <w:sz w:val="24"/>
                <w:szCs w:val="24"/>
                <w:lang w:val="en-GB"/>
              </w:rPr>
              <w:t>_____________</w:t>
            </w:r>
          </w:p>
        </w:tc>
      </w:tr>
      <w:tr w14:paraId="651BE820" w14:textId="77777777">
        <w:tc>
          <w:tcPr>
            <w:tcW w:w="5000" w:type="pct"/>
            <w:vAlign w:val="center"/>
          </w:tcPr>
          <w:p w14:paraId="3A676AD2" w14:textId="77777777">
            <w:pPr>
              <w:jc w:val="center"/>
              <w:rPr>
                <w:b/>
                <w:bCs/>
                <w:sz w:val="24"/>
                <w:szCs w:val="24"/>
                <w:lang w:val="en-GB"/>
              </w:rPr>
            </w:pPr>
            <w:r>
              <w:rPr>
                <w:b/>
                <w:bCs/>
                <w:sz w:val="24"/>
                <w:szCs w:val="24"/>
                <w:lang w:val="en-GB"/>
              </w:rPr>
              <w:t xml:space="preserve">Proposal for a Regulation of the European Parliament and of the Council establishing a framework of measures for strengthening Europe’s cloud and AI ecosystem </w:t>
            </w:r>
          </w:p>
          <w:p w14:paraId="5165F3CE" w14:textId="1693AD2E">
            <w:pPr>
              <w:jc w:val="center"/>
              <w:rPr>
                <w:sz w:val="24"/>
                <w:szCs w:val="24"/>
                <w:lang w:val="en-GB"/>
              </w:rPr>
            </w:pPr>
            <w:r>
              <w:rPr>
                <w:b/>
                <w:bCs/>
                <w:sz w:val="24"/>
                <w:szCs w:val="24"/>
                <w:lang w:val="en-GB"/>
              </w:rPr>
              <w:t>(Cloud and AI Development Act)</w:t>
            </w:r>
            <w:r>
              <w:rPr>
                <w:sz w:val="24"/>
                <w:szCs w:val="24"/>
                <w:lang w:val="en-GB"/>
              </w:rPr>
              <w:br/>
            </w:r>
            <w:r>
              <w:rPr>
                <w:sz w:val="24"/>
                <w:szCs w:val="24"/>
                <w:lang w:val="en-GB"/>
              </w:rPr>
              <w:t>(</w:t>
            </w:r>
            <w:r>
              <w:rPr>
                <w:sz w:val="24"/>
                <w:szCs w:val="24"/>
                <w:lang w:val="en-GB"/>
              </w:rPr>
              <w:t>COM(2026) 502 final – 2026/0138</w:t>
            </w:r>
            <w:r>
              <w:rPr>
                <w:sz w:val="24"/>
                <w:szCs w:val="24"/>
                <w:lang w:val="en-GB"/>
              </w:rPr>
              <w:t xml:space="preserve"> (COD))</w:t>
            </w:r>
          </w:p>
          <w:p w14:paraId="6E238E6D" w14:textId="48533910">
            <w:pPr>
              <w:jc w:val="center"/>
              <w:rPr>
                <w:sz w:val="24"/>
                <w:szCs w:val="24"/>
                <w:lang w:val="en-GB"/>
              </w:rPr>
            </w:pPr>
          </w:p>
        </w:tc>
      </w:tr>
      <w:tr w14:paraId="295584EE" w14:textId="77777777">
        <w:tc>
          <w:tcPr>
            <w:tcW w:w="5000" w:type="pct"/>
            <w:vAlign w:val="center"/>
          </w:tcPr>
          <w:p w14:paraId="7AA50FA1" w14:textId="77777777">
            <w:pPr>
              <w:jc w:val="center"/>
              <w:rPr>
                <w:sz w:val="24"/>
                <w:szCs w:val="24"/>
                <w:lang w:val="en-GB"/>
              </w:rPr>
            </w:pPr>
          </w:p>
        </w:tc>
      </w:tr>
      <w:tr w14:paraId="41F47321" w14:textId="77777777">
        <w:tc>
          <w:tcPr>
            <w:tcW w:w="5000" w:type="pct"/>
            <w:vAlign w:val="center"/>
          </w:tcPr>
          <w:p w14:paraId="50D97899" w14:textId="71997A34">
            <w:pPr>
              <w:jc w:val="center"/>
              <w:rPr>
                <w:b/>
                <w:sz w:val="24"/>
                <w:szCs w:val="24"/>
                <w:lang w:val="en-GB"/>
              </w:rPr>
            </w:pPr>
            <w:r>
              <w:rPr>
                <w:b/>
                <w:sz w:val="24"/>
                <w:szCs w:val="24"/>
                <w:lang w:val="en-GB"/>
              </w:rPr>
              <w:t>INT/1</w:t>
            </w:r>
            <w:r>
              <w:rPr>
                <w:b/>
                <w:sz w:val="24"/>
                <w:szCs w:val="24"/>
                <w:lang w:val="en-GB"/>
              </w:rPr>
              <w:t>1</w:t>
            </w:r>
            <w:r>
              <w:rPr>
                <w:b/>
                <w:sz w:val="24"/>
                <w:szCs w:val="24"/>
                <w:lang w:val="en-GB"/>
              </w:rPr>
              <w:t>2</w:t>
            </w:r>
            <w:r>
              <w:rPr>
                <w:b/>
                <w:sz w:val="24"/>
                <w:szCs w:val="24"/>
                <w:lang w:val="en-GB"/>
              </w:rPr>
              <w:t>6</w:t>
            </w:r>
          </w:p>
        </w:tc>
      </w:tr>
      <w:tr w14:paraId="2110FDEB" w14:textId="77777777">
        <w:tc>
          <w:tcPr>
            <w:tcW w:w="5000" w:type="pct"/>
            <w:vAlign w:val="center"/>
          </w:tcPr>
          <w:p w14:paraId="59F181E4" w14:textId="77777777">
            <w:pPr>
              <w:jc w:val="center"/>
              <w:rPr>
                <w:sz w:val="24"/>
                <w:szCs w:val="24"/>
                <w:lang w:val="en-GB"/>
              </w:rPr>
            </w:pPr>
          </w:p>
        </w:tc>
      </w:tr>
      <w:tr w14:paraId="5DF7EBEA" w14:textId="77777777">
        <w:tc>
          <w:tcPr>
            <w:tcW w:w="5000" w:type="pct"/>
            <w:vAlign w:val="center"/>
          </w:tcPr>
          <w:p w14:paraId="0043E4BA" w14:textId="5AB05E13">
            <w:pPr>
              <w:jc w:val="center"/>
              <w:rPr>
                <w:b/>
                <w:sz w:val="24"/>
                <w:szCs w:val="24"/>
                <w:lang w:val="en-GB"/>
              </w:rPr>
            </w:pPr>
            <w:r>
              <w:rPr>
                <w:sz w:val="24"/>
                <w:szCs w:val="24"/>
                <w:lang w:val="en-GB"/>
              </w:rPr>
              <w:t xml:space="preserve">Rapporteur: </w:t>
            </w:r>
            <w:r>
              <w:rPr>
                <w:b/>
                <w:bCs/>
                <w:sz w:val="24"/>
                <w:szCs w:val="24"/>
                <w:lang w:val="en-GB"/>
              </w:rPr>
              <w:t>Miroslav HAJNOŠ</w:t>
            </w:r>
          </w:p>
          <w:p w14:paraId="23E9DE0A" w14:textId="6D9249D9">
            <w:pPr>
              <w:jc w:val="center"/>
              <w:rPr>
                <w:sz w:val="24"/>
                <w:szCs w:val="24"/>
                <w:lang w:val="en-GB"/>
              </w:rPr>
            </w:pPr>
          </w:p>
        </w:tc>
      </w:tr>
      <w:tr w14:paraId="1AE590E4" w14:textId="77777777">
        <w:tc>
          <w:tcPr>
            <w:tcW w:w="5000" w:type="pct"/>
            <w:vAlign w:val="center"/>
          </w:tcPr>
          <w:p w14:paraId="3CA82D7B" w14:textId="4F6B9CDE">
            <w:pPr>
              <w:jc w:val="center"/>
              <w:rPr>
                <w:sz w:val="24"/>
                <w:szCs w:val="24"/>
                <w:lang w:val="en-GB"/>
              </w:rPr>
            </w:pPr>
          </w:p>
        </w:tc>
      </w:tr>
    </w:tbl>
    <w:p w14:paraId="0B225863" w14:textId="77777777">
      <w:pPr>
        <w:rPr>
          <w:lang w:val="en-GB"/>
        </w:rPr>
      </w:pPr>
      <w:r>
        <w:rPr>
          <w:noProof/>
          <w:sz w:val="20"/>
        </w:rPr>
        <mc:AlternateContent>
          <mc:Choice Requires="wps">
            <w:drawing>
              <wp:anchor distT="0" distB="0" distL="114300" distR="114300" simplePos="0" relativeHeight="251657216" behindDoc="1" locked="0" layoutInCell="0" allowOverlap="1" wp14:editId="3357AC0E" wp14:anchorId="3735E109">
                <wp:simplePos x="0" y="0"/>
                <wp:positionH relativeFrom="rightMargin">
                  <wp:posOffset>-201930</wp:posOffset>
                </wp:positionH>
                <wp:positionV relativeFrom="page">
                  <wp:posOffset>9486900</wp:posOffset>
                </wp:positionV>
                <wp:extent cx="741600" cy="432000"/>
                <wp:effectExtent l="0" t="0" r="0" b="6350"/>
                <wp:wrapNone/>
                <wp:docPr id="2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00" cy="43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B00903" w14:textId="77777777">
                            <w:pPr>
                              <w:jc w:val="center"/>
                            </w:pPr>
                            <w:r>
                              <w:rPr>
                                <w:rFonts w:ascii="Arial" w:hAnsi="Arial" w:cs="Arial"/>
                                <w:b/>
                                <w:bCs/>
                                <w:sz w:val="48"/>
                                <w:lang w:val="nl-BE"/>
                              </w:rPr>
                              <w:t>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3735E109">
                <v:stroke joinstyle="miter"/>
                <v:path gradientshapeok="t" o:connecttype="rect"/>
              </v:shapetype>
              <v:shape id="Text Box 17" style="position:absolute;left:0;text-align:left;margin-left:-15.9pt;margin-top:747pt;width:58.4pt;height:34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spid="_x0000_s1026"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">
                <v:textbox>
                  <w:txbxContent>
                    <w:p w14:paraId="03B00903" w14:textId="77777777">
                      <w:pPr>
                        <w:jc w:val="center"/>
                      </w:pPr>
                      <w:r>
                        <w:rPr>
                          <w:rFonts w:ascii="Arial" w:hAnsi="Arial" w:cs="Arial"/>
                          <w:b/>
                          <w:bCs/>
                          <w:sz w:val="48"/>
                          <w:lang w:val="nl-BE"/>
                        </w:rPr>
                        <w:t>EN</w:t>
                      </w:r>
                    </w:p>
                  </w:txbxContent>
                </v:textbox>
                <w10:wrap anchorx="margin" anchory="page"/>
              </v:shape>
            </w:pict>
          </mc:Fallback>
        </mc:AlternateContent>
      </w:r>
    </w:p>
    <w:p w14:paraId="4B88FC0A" w14:textId="77777777">
      <w:pPr>
        <w:rPr>
          <w:lang w:val="en-GB"/>
        </w:rPr>
        <w:sectPr>
          <w:headerReference w:type="even" r:id="rId12"/>
          <w:headerReference w:type="default" r:id="rId13"/>
          <w:footerReference w:type="even" r:id="rId14"/>
          <w:footerReference w:type="default" r:id="rId15"/>
          <w:headerReference w:type="first" r:id="rId16"/>
          <w:footerReference w:type="first" r:id="rId17"/>
          <w:pgSz w:w="11907" w:h="16839" w:code="9"/>
          <w:pgMar w:top="1417" w:right="1417" w:bottom="1417" w:left="1417" w:header="709" w:footer="709" w:gutter="0"/>
          <w:cols w:space="720"/>
          <w:docGrid w:linePitch="360"/>
        </w:sectPr>
      </w:pPr>
    </w:p>
    <w:tbl>
      <w:tblPr>
        <w:tblpPr w:leftFromText="181" w:rightFromText="181" w:tblpYSpec="bottom"/>
        <w:tblOverlap w:val="never"/>
        <w:tblW w:w="9289" w:type="dxa"/>
        <w:tblLayout w:type="fixed"/>
        <w:tblLook w:val="04A0" w:firstRow="1" w:lastRow="0" w:firstColumn="1" w:lastColumn="0" w:noHBand="0" w:noVBand="1"/>
      </w:tblPr>
      <w:tblGrid>
        <w:gridCol w:w="3085"/>
        <w:gridCol w:w="6204"/>
      </w:tblGrid>
      <w:tr w14:paraId="770FF93E" w14:textId="77777777">
        <w:tc>
          <w:tcPr>
            <w:tcW w:w="3085" w:type="dxa"/>
          </w:tcPr>
          <w:p w14:paraId="7AC10342" w14:textId="54B8A649">
            <w:pPr>
              <w:autoSpaceDE w:val="0"/>
              <w:autoSpaceDN w:val="0"/>
              <w:jc w:val="left"/>
              <w:rPr>
                <w:lang w:val="en-GB"/>
              </w:rPr>
            </w:pPr>
            <w:r>
              <w:rPr>
                <w:lang w:val="en-GB"/>
              </w:rPr>
              <w:lastRenderedPageBreak/>
              <w:t>Advisor</w:t>
            </w:r>
          </w:p>
        </w:tc>
        <w:tc>
          <w:tcPr>
            <w:tcW w:w="6204" w:type="dxa"/>
          </w:tcPr>
          <w:p w14:paraId="4AD021F3" w14:textId="46D14C6B">
            <w:pPr>
              <w:jc w:val="left"/>
              <w:rPr>
                <w:lang w:val="en-GB"/>
              </w:rPr>
            </w:pPr>
            <w:r>
              <w:rPr>
                <w:lang w:val="en-GB"/>
              </w:rPr>
              <w:t xml:space="preserve">Pavlina PAVLOVA </w:t>
            </w:r>
            <w:r>
              <w:rPr>
                <w:lang w:val="en-GB"/>
              </w:rPr>
              <w:t>(to the rapporteur)</w:t>
            </w:r>
          </w:p>
          <w:p w14:paraId="59A7024C" w14:textId="77777777">
            <w:pPr>
              <w:autoSpaceDE w:val="0"/>
              <w:autoSpaceDN w:val="0"/>
              <w:jc w:val="left"/>
              <w:rPr>
                <w:lang w:val="en-GB"/>
              </w:rPr>
            </w:pPr>
          </w:p>
        </w:tc>
      </w:tr>
      <w:tr w14:paraId="475849DA" w14:textId="77777777">
        <w:tc>
          <w:tcPr>
            <w:tcW w:w="3085" w:type="dxa"/>
          </w:tcPr>
          <w:p w14:paraId="64FAD60D" w14:textId="53E69126">
            <w:pPr>
              <w:autoSpaceDE w:val="0"/>
              <w:autoSpaceDN w:val="0"/>
              <w:jc w:val="left"/>
              <w:rPr>
                <w:szCs w:val="20"/>
                <w:lang w:val="en-GB"/>
              </w:rPr>
            </w:pPr>
            <w:r>
              <w:rPr>
                <w:lang w:val="en-GB"/>
              </w:rPr>
              <w:t>Legislative procedure</w:t>
            </w:r>
          </w:p>
        </w:tc>
        <w:tc>
          <w:tcPr>
            <w:tcW w:w="6204" w:type="dxa"/>
          </w:tcPr>
          <w:p w14:paraId="05F29C06" w14:textId="083C6553">
            <w:pPr>
              <w:autoSpaceDE w:val="0"/>
              <w:autoSpaceDN w:val="0"/>
              <w:jc w:val="left"/>
              <w:rPr>
                <w:lang w:val="en-GB" w:eastAsia="en-GB" w:bidi="en-GB"/>
              </w:rPr>
            </w:pPr>
            <w:hyperlink w:history="1" r:id="rId18">
              <w:r>
                <w:rPr>
                  <w:rStyle w:val="Hyperlink"/>
                  <w:lang w:val="en-GB"/>
                </w:rPr>
                <w:t>EU Law Tracker</w:t>
              </w:r>
            </w:hyperlink>
          </w:p>
        </w:tc>
      </w:tr>
      <w:tr w14:paraId="5AE03416" w14:textId="77777777">
        <w:tc>
          <w:tcPr>
            <w:tcW w:w="3085" w:type="dxa"/>
          </w:tcPr>
          <w:p w14:paraId="23BFBA33" w14:textId="0089298D">
            <w:pPr>
              <w:autoSpaceDE w:val="0"/>
              <w:autoSpaceDN w:val="0"/>
              <w:jc w:val="left"/>
              <w:rPr>
                <w:szCs w:val="20"/>
                <w:lang w:val="en-GB"/>
              </w:rPr>
            </w:pPr>
            <w:r>
              <w:rPr>
                <w:szCs w:val="20"/>
                <w:lang w:val="en-GB"/>
              </w:rPr>
              <w:t>Referral</w:t>
            </w:r>
          </w:p>
        </w:tc>
        <w:tc>
          <w:tcPr>
            <w:tcW w:w="6204" w:type="dxa"/>
          </w:tcPr>
          <w:p w14:paraId="0D56ED74" w14:textId="71F0D4C8">
            <w:pPr>
              <w:autoSpaceDE w:val="0"/>
              <w:autoSpaceDN w:val="0"/>
              <w:jc w:val="left"/>
              <w:rPr>
                <w:lang w:val="en-GB"/>
              </w:rPr>
            </w:pPr>
            <w:r>
              <w:rPr>
                <w:lang w:val="en-GB"/>
              </w:rPr>
              <w:t xml:space="preserve">European Parliament, </w:t>
            </w:r>
            <w:r>
              <w:rPr>
                <w:lang w:val="en-GB"/>
              </w:rPr>
              <w:t>2</w:t>
            </w:r>
            <w:r>
              <w:rPr>
                <w:lang w:val="en-GB"/>
              </w:rPr>
              <w:t>4</w:t>
            </w:r>
            <w:r>
              <w:rPr>
                <w:lang w:val="en-GB"/>
              </w:rPr>
              <w:t>/</w:t>
            </w:r>
            <w:r>
              <w:rPr>
                <w:lang w:val="en-GB"/>
              </w:rPr>
              <w:t>6</w:t>
            </w:r>
            <w:r>
              <w:rPr>
                <w:lang w:val="en-GB"/>
              </w:rPr>
              <w:t>/2026</w:t>
            </w:r>
          </w:p>
        </w:tc>
      </w:tr>
      <w:tr w14:paraId="2039EB1E" w14:textId="618F201A">
        <w:tc>
          <w:tcPr>
            <w:tcW w:w="3085" w:type="dxa"/>
          </w:tcPr>
          <w:p w14:paraId="75188FB2" w14:textId="76CD1977">
            <w:pPr>
              <w:autoSpaceDE w:val="0"/>
              <w:autoSpaceDN w:val="0"/>
              <w:jc w:val="left"/>
              <w:rPr>
                <w:szCs w:val="20"/>
                <w:lang w:val="en-GB"/>
              </w:rPr>
            </w:pPr>
          </w:p>
        </w:tc>
        <w:tc>
          <w:tcPr>
            <w:tcW w:w="6204" w:type="dxa"/>
          </w:tcPr>
          <w:p w14:paraId="4A4DA82F" w14:textId="218C410C">
            <w:pPr>
              <w:autoSpaceDE w:val="0"/>
              <w:autoSpaceDN w:val="0"/>
              <w:jc w:val="left"/>
              <w:rPr>
                <w:lang w:val="en-GB" w:eastAsia="en-GB" w:bidi="en-GB"/>
              </w:rPr>
            </w:pPr>
            <w:r>
              <w:rPr>
                <w:lang w:val="en-GB"/>
              </w:rPr>
              <w:t xml:space="preserve">Council of the European Union, </w:t>
            </w:r>
            <w:r>
              <w:rPr>
                <w:lang w:val="en-GB"/>
              </w:rPr>
              <w:t>18</w:t>
            </w:r>
            <w:r>
              <w:rPr>
                <w:lang w:val="en-GB"/>
              </w:rPr>
              <w:t>/</w:t>
            </w:r>
            <w:r>
              <w:rPr>
                <w:lang w:val="en-GB"/>
              </w:rPr>
              <w:t>9</w:t>
            </w:r>
            <w:r>
              <w:rPr>
                <w:lang w:val="en-GB"/>
              </w:rPr>
              <w:t>/</w:t>
            </w:r>
            <w:r>
              <w:rPr>
                <w:lang w:val="en-GB"/>
              </w:rPr>
              <w:t>2026</w:t>
            </w:r>
          </w:p>
        </w:tc>
      </w:tr>
      <w:tr w14:paraId="46C189AE" w14:textId="77777777">
        <w:tc>
          <w:tcPr>
            <w:tcW w:w="3085" w:type="dxa"/>
          </w:tcPr>
          <w:p w14:paraId="2DA32C67" w14:textId="77777777">
            <w:pPr>
              <w:autoSpaceDE w:val="0"/>
              <w:autoSpaceDN w:val="0"/>
              <w:jc w:val="left"/>
              <w:rPr>
                <w:szCs w:val="20"/>
                <w:lang w:val="en-GB"/>
              </w:rPr>
            </w:pPr>
            <w:r>
              <w:rPr>
                <w:szCs w:val="20"/>
                <w:lang w:val="en-GB"/>
              </w:rPr>
              <w:t>Legal basis</w:t>
            </w:r>
          </w:p>
        </w:tc>
        <w:tc>
          <w:tcPr>
            <w:tcW w:w="6204" w:type="dxa"/>
            <w:vAlign w:val="bottom"/>
          </w:tcPr>
          <w:p w14:paraId="67EB3E4A" w14:textId="01E02D93">
            <w:pPr>
              <w:autoSpaceDE w:val="0"/>
              <w:autoSpaceDN w:val="0"/>
              <w:jc w:val="left"/>
              <w:rPr>
                <w:szCs w:val="20"/>
                <w:lang w:val="en-GB"/>
              </w:rPr>
            </w:pPr>
            <w:r>
              <w:rPr>
                <w:lang w:val="en-GB"/>
              </w:rPr>
              <w:t xml:space="preserve">Articles 114 and </w:t>
            </w:r>
            <w:r>
              <w:rPr>
                <w:lang w:val="en-GB"/>
              </w:rPr>
              <w:t xml:space="preserve">173(3) </w:t>
            </w:r>
            <w:r>
              <w:rPr>
                <w:lang w:val="en-GB"/>
              </w:rPr>
              <w:t>of the Treaty on the Functioning of the European Union</w:t>
            </w:r>
          </w:p>
        </w:tc>
      </w:tr>
      <w:tr w14:paraId="7DE6E2F8" w14:textId="77777777">
        <w:tc>
          <w:tcPr>
            <w:tcW w:w="3085" w:type="dxa"/>
          </w:tcPr>
          <w:p w14:paraId="6F30B10F" w14:textId="3B17FC6D">
            <w:pPr>
              <w:autoSpaceDE w:val="0"/>
              <w:autoSpaceDN w:val="0"/>
              <w:jc w:val="left"/>
              <w:rPr>
                <w:szCs w:val="20"/>
                <w:lang w:val="en-GB"/>
              </w:rPr>
            </w:pPr>
            <w:r>
              <w:rPr>
                <w:lang w:val="en-GB"/>
              </w:rPr>
              <w:t>European Commission document</w:t>
            </w:r>
          </w:p>
        </w:tc>
        <w:tc>
          <w:tcPr>
            <w:tcW w:w="6204" w:type="dxa"/>
          </w:tcPr>
          <w:p w14:paraId="5E942745" w14:textId="550C1964">
            <w:pPr>
              <w:jc w:val="left"/>
              <w:rPr>
                <w:lang w:val="en-GB"/>
              </w:rPr>
            </w:pPr>
            <w:hyperlink w:history="1" r:id="rId19">
              <w:r>
                <w:rPr>
                  <w:rStyle w:val="Hyperlink"/>
                  <w:lang w:val="en-GB"/>
                </w:rPr>
                <w:t>COM(2026) 502 final – 2026/0138 (COD)</w:t>
              </w:r>
            </w:hyperlink>
          </w:p>
          <w:p w14:paraId="2CF6D80C" w14:textId="5499E4AB">
            <w:pPr>
              <w:jc w:val="left"/>
              <w:rPr>
                <w:lang w:val="en-GB"/>
              </w:rPr>
            </w:pPr>
            <w:hyperlink w:history="1" r:id="rId20">
              <w:r>
                <w:rPr>
                  <w:rStyle w:val="Hyperlink"/>
                  <w:lang w:val="en-GB"/>
                </w:rPr>
                <w:t>Summary</w:t>
              </w:r>
            </w:hyperlink>
            <w:r>
              <w:rPr>
                <w:lang w:val="en-GB"/>
              </w:rPr>
              <w:t xml:space="preserve"> of COM(2026) 502 final – 2026/0138 (COD)</w:t>
            </w:r>
          </w:p>
          <w:p w14:paraId="3A0571AE" w14:textId="4B85A2B3">
            <w:pPr>
              <w:autoSpaceDE w:val="0"/>
              <w:autoSpaceDN w:val="0"/>
              <w:jc w:val="left"/>
              <w:rPr>
                <w:lang w:val="en-GB"/>
              </w:rPr>
            </w:pPr>
          </w:p>
        </w:tc>
      </w:tr>
      <w:tr w14:paraId="56CDA04D" w14:textId="77777777">
        <w:tc>
          <w:tcPr>
            <w:tcW w:w="3085" w:type="dxa"/>
          </w:tcPr>
          <w:p w14:paraId="0ECF96FF" w14:textId="05858C5C">
            <w:pPr>
              <w:autoSpaceDE w:val="0"/>
              <w:autoSpaceDN w:val="0"/>
              <w:jc w:val="left"/>
              <w:rPr>
                <w:lang w:val="en-GB"/>
              </w:rPr>
            </w:pPr>
            <w:r>
              <w:rPr>
                <w:lang w:val="en-GB"/>
              </w:rPr>
              <w:t>Relevant Sustainable Development Goals (SDGs)</w:t>
            </w:r>
          </w:p>
        </w:tc>
        <w:tc>
          <w:tcPr>
            <w:tcW w:w="6204" w:type="dxa"/>
          </w:tcPr>
          <w:p w14:paraId="43B13D07" w14:textId="77777777">
            <w:pPr>
              <w:jc w:val="left"/>
              <w:rPr>
                <w:lang w:val="en-GB"/>
              </w:rPr>
            </w:pPr>
            <w:hyperlink w:history="1" r:id="rId21">
              <w:r>
                <w:rPr>
                  <w:rStyle w:val="Hyperlink"/>
                  <w:lang w:val="en-GB"/>
                </w:rPr>
                <w:t>SDG 9 - Industry, innovation and infrastructure</w:t>
              </w:r>
            </w:hyperlink>
          </w:p>
          <w:p w14:paraId="017F07D2" w14:textId="77777777">
            <w:pPr>
              <w:jc w:val="left"/>
              <w:rPr>
                <w:lang w:val="en-GB"/>
              </w:rPr>
            </w:pPr>
            <w:hyperlink w:history="1" r:id="rId22">
              <w:r>
                <w:rPr>
                  <w:rStyle w:val="Hyperlink"/>
                  <w:lang w:val="en-GB"/>
                </w:rPr>
                <w:t>SDG 11 - Sustainable cities and communities</w:t>
              </w:r>
            </w:hyperlink>
          </w:p>
          <w:p w14:paraId="4CE05FF2" w14:textId="48B04076">
            <w:pPr>
              <w:jc w:val="left"/>
              <w:rPr>
                <w:lang w:val="en-GB"/>
              </w:rPr>
            </w:pPr>
            <w:hyperlink w:history="1" r:id="rId23">
              <w:r>
                <w:rPr>
                  <w:rStyle w:val="Hyperlink"/>
                  <w:lang w:val="en-GB"/>
                </w:rPr>
                <w:t>SDG 16 - Peace, justice and strong institutions</w:t>
              </w:r>
            </w:hyperlink>
          </w:p>
        </w:tc>
      </w:tr>
      <w:tr w14:paraId="0E2099A6" w14:textId="77777777">
        <w:tc>
          <w:tcPr>
            <w:tcW w:w="3085" w:type="dxa"/>
          </w:tcPr>
          <w:p w14:paraId="0BC68BA5" w14:textId="77777777">
            <w:pPr>
              <w:autoSpaceDE w:val="0"/>
              <w:autoSpaceDN w:val="0"/>
              <w:jc w:val="left"/>
              <w:rPr>
                <w:lang w:val="en-GB"/>
              </w:rPr>
            </w:pPr>
            <w:r>
              <w:rPr>
                <w:lang w:val="en-GB"/>
              </w:rPr>
              <w:t>Section responsible</w:t>
            </w:r>
          </w:p>
        </w:tc>
        <w:tc>
          <w:tcPr>
            <w:tcW w:w="6204" w:type="dxa"/>
            <w:vAlign w:val="bottom"/>
          </w:tcPr>
          <w:p w14:paraId="5AE7EA9E" w14:textId="29B79533">
            <w:pPr>
              <w:autoSpaceDE w:val="0"/>
              <w:autoSpaceDN w:val="0"/>
              <w:jc w:val="left"/>
              <w:rPr>
                <w:lang w:val="en-GB"/>
              </w:rPr>
            </w:pPr>
            <w:r>
              <w:rPr>
                <w:lang w:val="en-GB"/>
              </w:rPr>
              <w:t>Single Market, Production and Consumption</w:t>
            </w:r>
          </w:p>
        </w:tc>
      </w:tr>
      <w:tr w14:paraId="1534029A" w14:textId="77777777">
        <w:tc>
          <w:tcPr>
            <w:tcW w:w="3085" w:type="dxa"/>
          </w:tcPr>
          <w:p w14:paraId="5A5FAB46" w14:textId="744515A7">
            <w:pPr>
              <w:autoSpaceDE w:val="0"/>
              <w:autoSpaceDN w:val="0"/>
              <w:jc w:val="left"/>
              <w:rPr>
                <w:lang w:val="en-GB"/>
              </w:rPr>
            </w:pPr>
            <w:r>
              <w:rPr>
                <w:lang w:val="en-GB"/>
              </w:rPr>
              <w:t>Adopted in section</w:t>
            </w:r>
          </w:p>
        </w:tc>
        <w:tc>
          <w:tcPr>
            <w:tcW w:w="6204" w:type="dxa"/>
            <w:vAlign w:val="bottom"/>
          </w:tcPr>
          <w:p w14:paraId="233A78AB" w14:textId="673E00F1">
            <w:pPr>
              <w:autoSpaceDE w:val="0"/>
              <w:autoSpaceDN w:val="0"/>
              <w:jc w:val="left"/>
              <w:rPr>
                <w:lang w:val="en-GB"/>
              </w:rPr>
            </w:pPr>
            <w:r>
              <w:rPr>
                <w:lang w:val="en-GB"/>
              </w:rPr>
              <w:t>8</w:t>
            </w:r>
            <w:r>
              <w:rPr>
                <w:lang w:val="en-GB"/>
              </w:rPr>
              <w:t>/</w:t>
            </w:r>
            <w:r>
              <w:rPr>
                <w:lang w:val="en-GB"/>
              </w:rPr>
              <w:t>9</w:t>
            </w:r>
            <w:r>
              <w:rPr>
                <w:lang w:val="en-GB"/>
              </w:rPr>
              <w:t>/2026</w:t>
            </w:r>
          </w:p>
        </w:tc>
      </w:tr>
      <w:tr w14:paraId="7AE47B93" w14:textId="77777777">
        <w:tc>
          <w:tcPr>
            <w:tcW w:w="3085" w:type="dxa"/>
          </w:tcPr>
          <w:p w14:paraId="26DE3092" w14:textId="5B7F7C13">
            <w:pPr>
              <w:autoSpaceDE w:val="0"/>
              <w:autoSpaceDN w:val="0"/>
              <w:jc w:val="left"/>
              <w:rPr>
                <w:lang w:val="en-GB"/>
              </w:rPr>
            </w:pPr>
            <w:r>
              <w:rPr>
                <w:lang w:val="en-GB"/>
              </w:rPr>
              <w:t>Adopted at plenary session</w:t>
            </w:r>
          </w:p>
        </w:tc>
        <w:tc>
          <w:tcPr>
            <w:tcW w:w="6204" w:type="dxa"/>
            <w:vAlign w:val="bottom"/>
          </w:tcPr>
          <w:p w14:paraId="34FA2183" w14:textId="207CF258">
            <w:pPr>
              <w:autoSpaceDE w:val="0"/>
              <w:autoSpaceDN w:val="0"/>
              <w:jc w:val="left"/>
              <w:rPr>
                <w:lang w:val="en-GB"/>
              </w:rPr>
            </w:pPr>
            <w:r>
              <w:rPr>
                <w:lang w:val="en-GB"/>
              </w:rPr>
              <w:t>23</w:t>
            </w:r>
            <w:r>
              <w:rPr>
                <w:lang w:val="en-GB"/>
              </w:rPr>
              <w:t>/</w:t>
            </w:r>
            <w:r>
              <w:rPr>
                <w:lang w:val="en-GB"/>
              </w:rPr>
              <w:t>9</w:t>
            </w:r>
            <w:r>
              <w:rPr>
                <w:lang w:val="en-GB"/>
              </w:rPr>
              <w:t>/</w:t>
            </w:r>
            <w:r>
              <w:rPr>
                <w:lang w:val="en-GB"/>
              </w:rPr>
              <w:t>2026</w:t>
            </w:r>
          </w:p>
        </w:tc>
      </w:tr>
      <w:tr w14:paraId="2FE8AE44" w14:textId="77777777">
        <w:tc>
          <w:tcPr>
            <w:tcW w:w="3085" w:type="dxa"/>
          </w:tcPr>
          <w:p w14:paraId="2A65A034" w14:textId="77777777">
            <w:pPr>
              <w:autoSpaceDE w:val="0"/>
              <w:autoSpaceDN w:val="0"/>
              <w:jc w:val="left"/>
              <w:rPr>
                <w:lang w:val="en-GB"/>
              </w:rPr>
            </w:pPr>
            <w:r>
              <w:rPr>
                <w:lang w:val="en-GB"/>
              </w:rPr>
              <w:t>Plenary session No</w:t>
            </w:r>
          </w:p>
        </w:tc>
        <w:tc>
          <w:tcPr>
            <w:tcW w:w="6204" w:type="dxa"/>
            <w:vAlign w:val="bottom"/>
          </w:tcPr>
          <w:p w14:paraId="17BFB0A7" w14:textId="7469E1F9">
            <w:pPr>
              <w:autoSpaceDE w:val="0"/>
              <w:autoSpaceDN w:val="0"/>
              <w:jc w:val="left"/>
              <w:rPr>
                <w:lang w:val="en-GB"/>
              </w:rPr>
            </w:pPr>
            <w:r>
              <w:rPr>
                <w:lang w:val="en-GB"/>
              </w:rPr>
              <w:t>608</w:t>
            </w:r>
          </w:p>
        </w:tc>
      </w:tr>
      <w:tr w14:paraId="3889B17A" w14:textId="77777777">
        <w:tc>
          <w:tcPr>
            <w:tcW w:w="3085" w:type="dxa"/>
          </w:tcPr>
          <w:p w14:paraId="0C723801" w14:textId="77777777">
            <w:pPr>
              <w:autoSpaceDE w:val="0"/>
              <w:autoSpaceDN w:val="0"/>
              <w:jc w:val="left"/>
              <w:rPr>
                <w:lang w:val="en-GB"/>
              </w:rPr>
            </w:pPr>
            <w:r>
              <w:rPr>
                <w:lang w:val="en-GB"/>
              </w:rPr>
              <w:t>Outcome of vote</w:t>
            </w:r>
            <w:r>
              <w:rPr>
                <w:lang w:val="en-GB"/>
              </w:rPr>
              <w:br/>
              <w:t>(for/against/abstentions)</w:t>
            </w:r>
          </w:p>
        </w:tc>
        <w:tc>
          <w:tcPr>
            <w:tcW w:w="6204" w:type="dxa"/>
            <w:vAlign w:val="bottom"/>
          </w:tcPr>
          <w:p w14:paraId="14DB34EA" w14:textId="79632662">
            <w:pPr>
              <w:autoSpaceDE w:val="0"/>
              <w:autoSpaceDN w:val="0"/>
              <w:jc w:val="left"/>
              <w:rPr>
                <w:lang w:val="en-GB"/>
              </w:rPr>
            </w:pPr>
            <w:r>
              <w:rPr>
                <w:lang w:val="en-GB"/>
              </w:rPr>
              <w:t>212</w:t>
            </w:r>
            <w:r>
              <w:rPr>
                <w:lang w:val="en-GB"/>
              </w:rPr>
              <w:t>/</w:t>
            </w:r>
            <w:r>
              <w:rPr>
                <w:lang w:val="en-GB"/>
              </w:rPr>
              <w:t>0</w:t>
            </w:r>
            <w:r>
              <w:rPr>
                <w:lang w:val="en-GB"/>
              </w:rPr>
              <w:t>/</w:t>
            </w:r>
            <w:r>
              <w:rPr>
                <w:lang w:val="en-GB"/>
              </w:rPr>
              <w:t>3</w:t>
            </w:r>
          </w:p>
        </w:tc>
      </w:tr>
    </w:tbl>
    <w:p w14:paraId="156A5F34" w14:textId="77777777">
      <w:pPr>
        <w:rPr>
          <w:lang w:val="en-GB"/>
        </w:rPr>
      </w:pPr>
    </w:p>
    <w:p w14:paraId="2CD3051D" w14:textId="77777777">
      <w:pPr>
        <w:rPr>
          <w:lang w:val="en-GB"/>
        </w:rPr>
        <w:sectPr>
          <w:headerReference w:type="even" r:id="rId24"/>
          <w:headerReference w:type="default" r:id="rId25"/>
          <w:footerReference w:type="default" r:id="rId26"/>
          <w:headerReference w:type="first" r:id="rId27"/>
          <w:pgSz w:w="11907" w:h="16839" w:code="9"/>
          <w:pgMar w:top="5669" w:right="1418" w:bottom="1418" w:left="1418" w:header="709" w:footer="709" w:gutter="0"/>
          <w:cols w:space="720"/>
          <w:docGrid w:linePitch="360"/>
        </w:sectPr>
      </w:pPr>
    </w:p>
    <w:p w14:paraId="391EFBDA" w14:textId="77777777">
      <w:pPr>
        <w:pStyle w:val="Heading1"/>
        <w:rPr>
          <w:b/>
          <w:bCs/>
          <w:lang w:val="en-GB"/>
        </w:rPr>
      </w:pPr>
      <w:r>
        <w:rPr>
          <w:b/>
          <w:bCs/>
          <w:lang w:val="en-GB"/>
        </w:rPr>
        <w:t>RECOMMENDATIONS</w:t>
      </w:r>
    </w:p>
    <w:p w14:paraId="74B0A9B1" w14:textId="77777777">
      <w:pPr>
        <w:rPr>
          <w:lang w:val="en-GB"/>
        </w:rPr>
      </w:pPr>
    </w:p>
    <w:p w14:paraId="386AE0CA" w14:textId="71AE2F72">
      <w:pPr>
        <w:jc w:val="left"/>
        <w:rPr>
          <w:i/>
          <w:iCs/>
          <w:lang w:val="en-GB"/>
        </w:rPr>
      </w:pPr>
      <w:r>
        <w:rPr>
          <w:lang w:val="en-GB"/>
        </w:rPr>
        <w:t>The European Economic and Social Committee (EESC)</w:t>
      </w:r>
      <w:r>
        <w:rPr>
          <w:lang w:val="en-GB"/>
        </w:rPr>
        <w:t>:</w:t>
      </w:r>
    </w:p>
    <w:p w14:paraId="773E7807" w14:textId="77777777">
      <w:pPr>
        <w:rPr>
          <w:lang w:val="en-GB"/>
        </w:rPr>
      </w:pPr>
    </w:p>
    <w:p w14:paraId="328F8BCC" w14:textId="77777777">
      <w:pPr>
        <w:pStyle w:val="Heading2"/>
        <w:rPr>
          <w:lang w:val="en-GB"/>
        </w:rPr>
      </w:pPr>
      <w:r>
        <w:rPr>
          <w:b/>
          <w:bCs/>
          <w:lang w:val="en-GB"/>
        </w:rPr>
        <w:t>welcomes</w:t>
      </w:r>
      <w:r>
        <w:rPr>
          <w:lang w:val="en-GB"/>
        </w:rPr>
        <w:t xml:space="preserve"> the objective of the Cloud and AI Development Act (CADA) to strengthen Europe’s cloud and AI ecosystem and reduce the EU’s dependence on non-European cloud and AI providers; but </w:t>
      </w:r>
      <w:r>
        <w:rPr>
          <w:b/>
          <w:bCs/>
          <w:lang w:val="en-GB"/>
        </w:rPr>
        <w:t>requires</w:t>
      </w:r>
      <w:r>
        <w:rPr>
          <w:lang w:val="en-GB"/>
        </w:rPr>
        <w:t xml:space="preserve"> targeted revisions on building European data centre capacity and steering public procurement toward European providers;</w:t>
      </w:r>
    </w:p>
    <w:p w14:paraId="47F2D046" w14:textId="77777777">
      <w:pPr>
        <w:rPr>
          <w:lang w:val="en-GB"/>
        </w:rPr>
      </w:pPr>
    </w:p>
    <w:p w14:paraId="492CEBFD" w14:textId="77777777">
      <w:pPr>
        <w:pStyle w:val="Heading2"/>
        <w:rPr>
          <w:lang w:val="en-GB"/>
        </w:rPr>
      </w:pPr>
      <w:r>
        <w:rPr>
          <w:b/>
          <w:bCs/>
          <w:lang w:val="en-GB"/>
        </w:rPr>
        <w:t>calls for</w:t>
      </w:r>
      <w:r>
        <w:rPr>
          <w:lang w:val="en-GB"/>
        </w:rPr>
        <w:t xml:space="preserve"> the proposal’s financing to be secured rather than assumed; </w:t>
      </w:r>
      <w:r>
        <w:rPr>
          <w:b/>
          <w:bCs/>
          <w:lang w:val="en-GB"/>
        </w:rPr>
        <w:t>recommends</w:t>
      </w:r>
      <w:r>
        <w:rPr>
          <w:lang w:val="en-GB"/>
        </w:rPr>
        <w:t xml:space="preserve"> treating cloud and AI infrastructure as a protected priority in the next multiannual financial framework, with resources matching its capacity objectives; </w:t>
      </w:r>
      <w:r>
        <w:rPr>
          <w:b/>
          <w:bCs/>
          <w:lang w:val="en-GB"/>
        </w:rPr>
        <w:t>calls on</w:t>
      </w:r>
      <w:r>
        <w:rPr>
          <w:lang w:val="en-GB"/>
        </w:rPr>
        <w:t xml:space="preserve"> the Commission to publish a consolidated overview of available EU financing before the deadline for the adoption of national strategies under Article 7; and </w:t>
      </w:r>
      <w:r>
        <w:rPr>
          <w:b/>
          <w:bCs/>
          <w:lang w:val="en-GB"/>
        </w:rPr>
        <w:t>proposes</w:t>
      </w:r>
      <w:r>
        <w:rPr>
          <w:lang w:val="en-GB"/>
        </w:rPr>
        <w:t xml:space="preserve"> that the Commission and the European Investment Bank mobilise European institutional and private capital toward data centre and cloud infrastructure as an investment class;</w:t>
      </w:r>
    </w:p>
    <w:p w14:paraId="5B662B97" w14:textId="77777777">
      <w:pPr>
        <w:rPr>
          <w:lang w:val="en-GB"/>
        </w:rPr>
      </w:pPr>
    </w:p>
    <w:p w14:paraId="79A32228" w14:textId="77777777">
      <w:pPr>
        <w:pStyle w:val="Heading2"/>
        <w:rPr>
          <w:lang w:val="en-GB"/>
        </w:rPr>
      </w:pPr>
      <w:r>
        <w:rPr>
          <w:b/>
          <w:bCs/>
          <w:lang w:val="en-GB"/>
        </w:rPr>
        <w:t xml:space="preserve">calls on </w:t>
      </w:r>
      <w:r>
        <w:rPr>
          <w:lang w:val="en-GB"/>
        </w:rPr>
        <w:t>Member States to meaningfully consult social partners, civil society and consumer organisations when developing or substantially revising national cloud and AI strategies under Article 7;</w:t>
      </w:r>
    </w:p>
    <w:p w14:paraId="026264BA" w14:textId="77777777">
      <w:pPr>
        <w:rPr>
          <w:lang w:val="en-GB"/>
        </w:rPr>
      </w:pPr>
    </w:p>
    <w:p w14:paraId="13BEE15B" w14:textId="77777777">
      <w:pPr>
        <w:pStyle w:val="Heading2"/>
        <w:rPr>
          <w:lang w:val="en-GB"/>
        </w:rPr>
      </w:pPr>
      <w:r>
        <w:rPr>
          <w:b/>
          <w:bCs/>
          <w:lang w:val="en-GB"/>
        </w:rPr>
        <w:t>calls for</w:t>
      </w:r>
      <w:r>
        <w:rPr>
          <w:lang w:val="en-GB"/>
        </w:rPr>
        <w:t xml:space="preserve"> the designation of data centre acceleration zones under Article 10 to be made conditional on a social and environmental impact assessment covering health, employment, energy and water demand;</w:t>
      </w:r>
    </w:p>
    <w:p w14:paraId="1CD812DD" w14:textId="77777777">
      <w:pPr>
        <w:rPr>
          <w:lang w:val="en-GB"/>
        </w:rPr>
      </w:pPr>
    </w:p>
    <w:p w14:paraId="2858789C" w14:textId="77777777">
      <w:pPr>
        <w:pStyle w:val="Heading2"/>
        <w:rPr>
          <w:lang w:val="en-GB"/>
        </w:rPr>
      </w:pPr>
      <w:r>
        <w:rPr>
          <w:b/>
          <w:bCs/>
          <w:lang w:val="en-GB"/>
        </w:rPr>
        <w:t>recommends</w:t>
      </w:r>
      <w:r>
        <w:rPr>
          <w:lang w:val="en-GB"/>
        </w:rPr>
        <w:t xml:space="preserve"> introducing a strict obligation on network operators to indicate available connection capacity within six months of request; </w:t>
      </w:r>
      <w:r>
        <w:rPr>
          <w:b/>
          <w:bCs/>
          <w:lang w:val="en-GB"/>
        </w:rPr>
        <w:t>considers</w:t>
      </w:r>
      <w:r>
        <w:rPr>
          <w:lang w:val="en-GB"/>
        </w:rPr>
        <w:t xml:space="preserve"> that faster connections are no substitute for adequate power generation, and </w:t>
      </w:r>
      <w:r>
        <w:rPr>
          <w:b/>
          <w:bCs/>
          <w:lang w:val="en-GB"/>
        </w:rPr>
        <w:t>calls on</w:t>
      </w:r>
      <w:r>
        <w:rPr>
          <w:lang w:val="en-GB"/>
        </w:rPr>
        <w:t xml:space="preserve"> the Commission to assess whether EU electricity generation can keep pace with the target of tripling data centres’ capacity;</w:t>
      </w:r>
    </w:p>
    <w:p w14:paraId="6517C7B8" w14:textId="77777777">
      <w:pPr>
        <w:ind w:left="567" w:hanging="567"/>
        <w:rPr>
          <w:lang w:val="en-GB"/>
        </w:rPr>
      </w:pPr>
    </w:p>
    <w:p w14:paraId="5C55CFE2" w14:textId="77777777">
      <w:pPr>
        <w:pStyle w:val="Heading2"/>
        <w:rPr>
          <w:lang w:val="en-GB"/>
        </w:rPr>
      </w:pPr>
      <w:r>
        <w:rPr>
          <w:b/>
          <w:bCs/>
          <w:lang w:val="en-GB"/>
        </w:rPr>
        <w:t>calls</w:t>
      </w:r>
      <w:r>
        <w:rPr>
          <w:lang w:val="en-GB"/>
        </w:rPr>
        <w:t xml:space="preserve"> for the procedure for designating acceleration zones to include a defined, time-limited public consultation period going beyond the single information point’s role of ‘increasing public acceptance’, and strongly invites Member States, in accordance with their national prerogatives, to set up a compensation mechanism for affected local communities and to assess and mitigate the health risks associated with the operation of data centres;</w:t>
      </w:r>
    </w:p>
    <w:p w14:paraId="6314FC79" w14:textId="77777777">
      <w:pPr>
        <w:rPr>
          <w:lang w:val="en-GB"/>
        </w:rPr>
      </w:pPr>
    </w:p>
    <w:p w14:paraId="372692F6" w14:textId="77777777">
      <w:pPr>
        <w:pStyle w:val="Heading2"/>
        <w:rPr>
          <w:lang w:val="en-GB"/>
        </w:rPr>
      </w:pPr>
      <w:r>
        <w:rPr>
          <w:b/>
          <w:bCs/>
          <w:lang w:val="en-GB"/>
        </w:rPr>
        <w:t>recommends</w:t>
      </w:r>
      <w:r>
        <w:rPr>
          <w:lang w:val="en-GB"/>
        </w:rPr>
        <w:t xml:space="preserve"> that the ‘Union added value’ award criterion under Article 32 be given significant weight in procurement;</w:t>
      </w:r>
    </w:p>
    <w:p w14:paraId="5DE0BB83" w14:textId="77777777">
      <w:pPr>
        <w:rPr>
          <w:lang w:val="en-GB"/>
        </w:rPr>
      </w:pPr>
    </w:p>
    <w:p w14:paraId="118669C2" w14:textId="77777777">
      <w:pPr>
        <w:pStyle w:val="Heading2"/>
        <w:rPr>
          <w:lang w:val="en-GB"/>
        </w:rPr>
      </w:pPr>
      <w:r>
        <w:rPr>
          <w:b/>
          <w:bCs/>
          <w:lang w:val="en-GB"/>
        </w:rPr>
        <w:t>calls for</w:t>
      </w:r>
      <w:r>
        <w:rPr>
          <w:lang w:val="en-GB"/>
        </w:rPr>
        <w:t xml:space="preserve"> the development of a European sustainable cloud and AI certification, considered in public procurement, to complement the sustainability indicators under Article 11;</w:t>
      </w:r>
    </w:p>
    <w:p w14:paraId="6C93F0CB" w14:textId="77777777">
      <w:pPr>
        <w:rPr>
          <w:lang w:val="en-GB"/>
        </w:rPr>
      </w:pPr>
    </w:p>
    <w:p w14:paraId="02899A3B" w14:textId="77777777">
      <w:pPr>
        <w:pStyle w:val="Heading2"/>
        <w:rPr>
          <w:lang w:val="en-GB"/>
        </w:rPr>
      </w:pPr>
      <w:r>
        <w:rPr>
          <w:b/>
          <w:bCs/>
          <w:lang w:val="en-GB"/>
        </w:rPr>
        <w:t>calls for</w:t>
      </w:r>
      <w:r>
        <w:rPr>
          <w:lang w:val="en-GB"/>
        </w:rPr>
        <w:t xml:space="preserve"> the indicative 25% SME procurement objective under Article 33 to become a shared requirement, with the Commission’s guidance to Member States including concrete implementation incentives;</w:t>
      </w:r>
    </w:p>
    <w:p w14:paraId="73EE6DEC" w14:textId="77777777">
      <w:pPr>
        <w:rPr>
          <w:lang w:val="en-GB"/>
        </w:rPr>
      </w:pPr>
    </w:p>
    <w:p w14:paraId="1CFBE230" w14:textId="77777777">
      <w:pPr>
        <w:pStyle w:val="Heading2"/>
        <w:rPr>
          <w:lang w:val="en-GB"/>
        </w:rPr>
      </w:pPr>
      <w:r>
        <w:rPr>
          <w:b/>
          <w:bCs/>
          <w:lang w:val="en-GB"/>
        </w:rPr>
        <w:t>calls for</w:t>
      </w:r>
      <w:r>
        <w:rPr>
          <w:lang w:val="en-GB"/>
        </w:rPr>
        <w:t xml:space="preserve"> the cloud and AI skills curriculum to be co-designed with social partners, building on the task already entrusted to the Centres for AI. This should </w:t>
      </w:r>
      <w:r>
        <w:rPr>
          <w:lang w:val="en-GB" w:eastAsia="en-GB"/>
        </w:rPr>
        <w:t xml:space="preserve">ensure that the curriculum contributes to a long-term European skills strategy by supporting continuous learning, strengthening STEM competences, fostering the development and retention of talent, and equipping workers with the skills required by the digital transformation; </w:t>
      </w:r>
      <w:r>
        <w:rPr>
          <w:b/>
          <w:bCs/>
          <w:lang w:val="en-GB" w:eastAsia="en-GB"/>
        </w:rPr>
        <w:t>notes</w:t>
      </w:r>
      <w:r>
        <w:rPr>
          <w:lang w:val="en-GB" w:eastAsia="en-GB"/>
        </w:rPr>
        <w:t xml:space="preserve"> the absence of any explicit reference to young people and young professionals in the proposal, and calls for the curriculum to include targeted measures for their recruitment and retention</w:t>
      </w:r>
      <w:r>
        <w:rPr>
          <w:lang w:val="en-GB"/>
        </w:rPr>
        <w:t>;</w:t>
      </w:r>
    </w:p>
    <w:p w14:paraId="062101C4" w14:textId="77777777">
      <w:pPr>
        <w:rPr>
          <w:lang w:val="en-GB"/>
        </w:rPr>
      </w:pPr>
    </w:p>
    <w:p w14:paraId="3B4D63C4" w14:textId="77777777">
      <w:pPr>
        <w:pStyle w:val="Heading2"/>
        <w:rPr>
          <w:lang w:val="en-GB"/>
        </w:rPr>
      </w:pPr>
      <w:r>
        <w:rPr>
          <w:b/>
          <w:bCs/>
          <w:lang w:val="en-GB"/>
        </w:rPr>
        <w:t>draws attention</w:t>
      </w:r>
      <w:r>
        <w:rPr>
          <w:lang w:val="en-GB"/>
        </w:rPr>
        <w:t xml:space="preserve"> to a risk accompanying the acceleration that the proposal is designed to produce, one not currently taken into account in its monitoring framework: the gradual erosion of the human and institutional capability to operate, oversee and, where necessary, work without the systems being deployed; </w:t>
      </w:r>
      <w:r>
        <w:rPr>
          <w:b/>
          <w:bCs/>
          <w:lang w:val="en-GB"/>
        </w:rPr>
        <w:t>stresses</w:t>
      </w:r>
      <w:r>
        <w:rPr>
          <w:lang w:val="en-GB"/>
        </w:rPr>
        <w:t xml:space="preserve"> that this erosion advances silently, because output indicators remain stable while the underlying capacity declines, and that it affects the workforce and public administrations simultaneously; </w:t>
      </w:r>
      <w:r>
        <w:rPr>
          <w:b/>
          <w:bCs/>
          <w:lang w:val="en-GB"/>
        </w:rPr>
        <w:t>recommends</w:t>
      </w:r>
      <w:r>
        <w:rPr>
          <w:lang w:val="en-GB"/>
        </w:rPr>
        <w:t xml:space="preserve"> that the proposal’s monitoring obligations, national strategies and public sector risk assessments under Article 29 cover the absorption side of adoption.</w:t>
      </w:r>
    </w:p>
    <w:p w14:paraId="22F92C73" w14:textId="77777777">
      <w:pPr>
        <w:rPr>
          <w:lang w:val="en-GB"/>
        </w:rPr>
      </w:pPr>
    </w:p>
    <w:p w14:paraId="4C2AEDE0" w14:textId="77777777">
      <w:pPr>
        <w:pStyle w:val="Heading1"/>
        <w:keepNext/>
        <w:keepLines/>
        <w:rPr>
          <w:b/>
          <w:bCs/>
          <w:lang w:val="en-GB"/>
        </w:rPr>
      </w:pPr>
      <w:r>
        <w:rPr>
          <w:b/>
          <w:bCs/>
          <w:lang w:val="en-GB"/>
        </w:rPr>
        <w:t>EXPLANATORY NOTES</w:t>
      </w:r>
    </w:p>
    <w:p w14:paraId="25F489C3" w14:textId="77777777">
      <w:pPr>
        <w:keepNext/>
        <w:keepLines/>
        <w:rPr>
          <w:lang w:val="en-GB"/>
        </w:rPr>
      </w:pPr>
    </w:p>
    <w:p w14:paraId="3155BA15" w14:textId="77777777">
      <w:pPr>
        <w:keepNext/>
        <w:keepLines/>
        <w:ind w:left="567"/>
        <w:rPr>
          <w:i/>
          <w:iCs/>
          <w:lang w:val="en-GB"/>
        </w:rPr>
      </w:pPr>
      <w:r>
        <w:rPr>
          <w:i/>
          <w:iCs/>
          <w:lang w:val="en-GB"/>
        </w:rPr>
        <w:t>Arguments in support of recommendation 1.1</w:t>
      </w:r>
    </w:p>
    <w:p w14:paraId="40D092F7" w14:textId="77777777">
      <w:pPr>
        <w:keepNext/>
        <w:keepLines/>
        <w:ind w:left="567"/>
        <w:rPr>
          <w:lang w:val="en-GB"/>
        </w:rPr>
      </w:pPr>
    </w:p>
    <w:p w14:paraId="1CA2F7AE" w14:textId="77777777">
      <w:pPr>
        <w:pStyle w:val="Heading2"/>
        <w:rPr>
          <w:lang w:val="en-GB"/>
        </w:rPr>
      </w:pPr>
      <w:r>
        <w:rPr>
          <w:lang w:val="en-GB"/>
        </w:rPr>
        <w:t>The dependence on non-European cloud providers is a pressing concern for the competitiveness of the EU’s single market, democratic and economic integrity and strategic autonomy.</w:t>
      </w:r>
    </w:p>
    <w:p w14:paraId="3304A1E8" w14:textId="77777777">
      <w:pPr>
        <w:rPr>
          <w:lang w:val="en-GB"/>
        </w:rPr>
      </w:pPr>
    </w:p>
    <w:p w14:paraId="53C41700" w14:textId="77777777">
      <w:pPr>
        <w:pStyle w:val="Heading2"/>
        <w:rPr>
          <w:lang w:val="en-GB"/>
        </w:rPr>
      </w:pPr>
      <w:r>
        <w:rPr>
          <w:lang w:val="en-GB"/>
        </w:rPr>
        <w:t>As this is a catch-up measure, the possibility to anticipate future technological developments must be fully exploited in this proposal, particularly with regard to the increased capacity and integration of data centres, advanced data processing technologies and the prioritisation of strategic data centres critical to EU sovereignty.</w:t>
      </w:r>
    </w:p>
    <w:p w14:paraId="24B32D0C" w14:textId="77777777">
      <w:pPr>
        <w:rPr>
          <w:lang w:val="en-GB"/>
        </w:rPr>
      </w:pPr>
    </w:p>
    <w:p w14:paraId="08D3FB3B" w14:textId="77777777">
      <w:pPr>
        <w:pStyle w:val="Heading2"/>
        <w:numPr>
          <w:ilvl w:val="1"/>
          <w:numId w:val="21"/>
        </w:numPr>
        <w:rPr>
          <w:lang w:val="en-GB"/>
        </w:rPr>
      </w:pPr>
      <w:r>
        <w:rPr>
          <w:lang w:val="en-GB"/>
        </w:rPr>
        <w:t>Without a corresponding guarantee of demand, and effective steering of public procurement to sovereign providers, the envisioned increased capacity risks reproducing the dependence on non-European hyperscalers.</w:t>
      </w:r>
    </w:p>
    <w:p w14:paraId="4759C00E" w14:textId="77777777">
      <w:pPr>
        <w:ind w:left="567" w:hanging="567"/>
        <w:rPr>
          <w:lang w:val="en-GB"/>
        </w:rPr>
      </w:pPr>
    </w:p>
    <w:p w14:paraId="5929A6B6" w14:textId="77777777">
      <w:pPr>
        <w:keepNext/>
        <w:keepLines/>
        <w:ind w:left="567"/>
        <w:rPr>
          <w:i/>
          <w:iCs/>
          <w:lang w:val="en-GB"/>
        </w:rPr>
      </w:pPr>
      <w:r>
        <w:rPr>
          <w:i/>
          <w:iCs/>
          <w:lang w:val="en-GB"/>
        </w:rPr>
        <w:t>Arguments in support of recommendation 1.2</w:t>
      </w:r>
    </w:p>
    <w:p w14:paraId="2DED74DA" w14:textId="77777777">
      <w:pPr>
        <w:keepNext/>
        <w:keepLines/>
        <w:ind w:left="567" w:hanging="567"/>
        <w:rPr>
          <w:i/>
          <w:iCs/>
          <w:lang w:val="en-GB"/>
        </w:rPr>
      </w:pPr>
    </w:p>
    <w:p w14:paraId="09A895C8" w14:textId="77777777">
      <w:pPr>
        <w:pStyle w:val="Heading2"/>
        <w:rPr>
          <w:lang w:val="en-GB"/>
        </w:rPr>
      </w:pPr>
      <w:r>
        <w:rPr>
          <w:lang w:val="en-GB"/>
        </w:rPr>
        <w:t>The proposal mandates outcomes but cannot guarantee how they will be financed. It establishes the objective of at least tripling the EU’s data centre capacity by 2030, yet meeting that objective relies on existing EU programmes subject to their being adopted under the next multiannual financial framework, with its only specific revenue mechanism being fees levied on the contracting authorities participating in the common procurement framework. An ambition of this scale cannot rest on financing that is contingent and dispersed.</w:t>
      </w:r>
    </w:p>
    <w:p w14:paraId="2386D12E" w14:textId="77777777">
      <w:pPr>
        <w:rPr>
          <w:lang w:val="en-GB"/>
        </w:rPr>
      </w:pPr>
    </w:p>
    <w:p w14:paraId="06139C0B" w14:textId="77777777">
      <w:pPr>
        <w:pStyle w:val="Heading2"/>
        <w:rPr>
          <w:lang w:val="en-GB"/>
        </w:rPr>
      </w:pPr>
      <w:r>
        <w:rPr>
          <w:lang w:val="en-GB"/>
        </w:rPr>
        <w:t>Public resources alone will not close the gap. The scale of private capital deployed by competitors is carried predominantly by private capital markets. The proposal’s objectives therefore require, alongside protected public financing, a deliberate effort to mobilise European institutional investors, including pension funds and insurers, toward data centre and cloud infrastructure as a recognised investment class, building on the instruments of the Invest EU programme and the European Investment Bank.</w:t>
      </w:r>
    </w:p>
    <w:p w14:paraId="39560CAA" w14:textId="77777777">
      <w:pPr>
        <w:rPr>
          <w:lang w:val="en-GB"/>
        </w:rPr>
      </w:pPr>
    </w:p>
    <w:p w14:paraId="3530B837" w14:textId="77777777">
      <w:pPr>
        <w:keepNext/>
        <w:keepLines/>
        <w:ind w:left="567"/>
        <w:rPr>
          <w:i/>
          <w:iCs/>
          <w:lang w:val="en-GB"/>
        </w:rPr>
      </w:pPr>
      <w:r>
        <w:rPr>
          <w:i/>
          <w:iCs/>
          <w:lang w:val="en-GB"/>
        </w:rPr>
        <w:t>Arguments in support of recommendation 1.3</w:t>
      </w:r>
    </w:p>
    <w:p w14:paraId="2917E362" w14:textId="77777777">
      <w:pPr>
        <w:keepNext/>
        <w:keepLines/>
        <w:ind w:left="567" w:hanging="567"/>
        <w:rPr>
          <w:i/>
          <w:iCs/>
          <w:lang w:val="en-GB"/>
        </w:rPr>
      </w:pPr>
    </w:p>
    <w:p w14:paraId="147AF26F" w14:textId="77777777">
      <w:pPr>
        <w:pStyle w:val="Heading2"/>
        <w:rPr>
          <w:lang w:val="en-GB"/>
        </w:rPr>
      </w:pPr>
      <w:r>
        <w:rPr>
          <w:lang w:val="en-GB"/>
        </w:rPr>
        <w:t>The proposal does not include any reference to a social dialogue or just transition, despite its evident implications for employment and the organisation of work, as cloud and AI adoption accelerates</w:t>
      </w:r>
      <w:r>
        <w:rPr>
          <w:rStyle w:val="FootnoteReference"/>
          <w:lang w:val="en-GB"/>
        </w:rPr>
        <w:footnoteReference w:id="1"/>
      </w:r>
      <w:r>
        <w:rPr>
          <w:lang w:val="en-GB"/>
        </w:rPr>
        <w:t xml:space="preserve">. </w:t>
      </w:r>
      <w:r>
        <w:rPr>
          <w:b/>
          <w:bCs/>
          <w:lang w:val="en-GB"/>
        </w:rPr>
        <w:t>Nor does it reference consumer organisations, despite the proposal’s procurement and public-sector cloud measures having direct downstream effects on service quality, data protection and pricing for end users.</w:t>
      </w:r>
    </w:p>
    <w:p w14:paraId="4BB338E8" w14:textId="77777777">
      <w:pPr>
        <w:ind w:left="567" w:hanging="567"/>
        <w:rPr>
          <w:lang w:val="en-GB"/>
        </w:rPr>
      </w:pPr>
    </w:p>
    <w:p w14:paraId="359AF90B" w14:textId="77777777">
      <w:pPr>
        <w:keepNext/>
        <w:keepLines/>
        <w:ind w:left="567"/>
        <w:rPr>
          <w:i/>
          <w:iCs/>
          <w:lang w:val="en-GB"/>
        </w:rPr>
      </w:pPr>
      <w:r>
        <w:rPr>
          <w:i/>
          <w:iCs/>
          <w:lang w:val="en-GB"/>
        </w:rPr>
        <w:t>Arguments in support of recommendation 1.4</w:t>
      </w:r>
    </w:p>
    <w:p w14:paraId="1550EFE5" w14:textId="77777777">
      <w:pPr>
        <w:keepNext/>
        <w:keepLines/>
        <w:ind w:left="567" w:hanging="567"/>
        <w:rPr>
          <w:lang w:val="en-GB"/>
        </w:rPr>
      </w:pPr>
    </w:p>
    <w:p w14:paraId="5D0FCFF3" w14:textId="77777777">
      <w:pPr>
        <w:pStyle w:val="Heading2"/>
        <w:rPr>
          <w:lang w:val="en-GB"/>
        </w:rPr>
      </w:pPr>
      <w:r>
        <w:rPr>
          <w:lang w:val="en-GB"/>
        </w:rPr>
        <w:t>The proposal already requires Member States to assess energy demand before designating data centre acceleration zones, establishing a clear precedent that designation may properly be made conditional on prior assessment</w:t>
      </w:r>
      <w:r>
        <w:rPr>
          <w:rStyle w:val="FootnoteReference"/>
          <w:szCs w:val="24"/>
          <w:lang w:val="en-GB"/>
        </w:rPr>
        <w:footnoteReference w:id="2"/>
      </w:r>
      <w:r>
        <w:rPr>
          <w:lang w:val="en-GB"/>
        </w:rPr>
        <w:t>.</w:t>
      </w:r>
    </w:p>
    <w:p w14:paraId="42A97A1D" w14:textId="77777777">
      <w:pPr>
        <w:rPr>
          <w:lang w:val="en-GB"/>
        </w:rPr>
      </w:pPr>
    </w:p>
    <w:p w14:paraId="7ABE8665" w14:textId="77777777">
      <w:pPr>
        <w:pStyle w:val="Heading2"/>
        <w:rPr>
          <w:lang w:val="en-GB"/>
        </w:rPr>
      </w:pPr>
      <w:r>
        <w:rPr>
          <w:lang w:val="en-GB"/>
        </w:rPr>
        <w:t>The successful development of Europe’s cloud and AI infrastructure will depend not only on faster permitting procedures but also on its consistency with the EU’s energy and environmental objectives. The planning and development of data centres should encourage energy efficiency, greater use of renewable energy sources, responsible water management and, where feasible, the recovery and reuse of waste heat, thereby contributing to both environmental sustainability and greater public acceptance. Article 10(1)(e) lists waste-heat reuse as a factor for Member States to consider when designating acceleration zones, but only as one criterion among many, rather than an affirmative planning principle.</w:t>
      </w:r>
    </w:p>
    <w:p w14:paraId="7A36C50D" w14:textId="77777777">
      <w:pPr>
        <w:rPr>
          <w:lang w:val="en-GB"/>
        </w:rPr>
      </w:pPr>
    </w:p>
    <w:p w14:paraId="22328760" w14:textId="77777777">
      <w:pPr>
        <w:keepNext/>
        <w:keepLines/>
        <w:ind w:left="567"/>
        <w:rPr>
          <w:i/>
          <w:iCs/>
          <w:lang w:val="en-GB"/>
        </w:rPr>
      </w:pPr>
      <w:r>
        <w:rPr>
          <w:i/>
          <w:iCs/>
          <w:lang w:val="en-GB"/>
        </w:rPr>
        <w:t>Arguments in support of recommendation 1.5</w:t>
      </w:r>
    </w:p>
    <w:p w14:paraId="078026E6" w14:textId="77777777">
      <w:pPr>
        <w:keepNext/>
        <w:keepLines/>
        <w:ind w:left="567" w:hanging="567"/>
        <w:rPr>
          <w:i/>
          <w:iCs/>
          <w:lang w:val="en-GB"/>
        </w:rPr>
      </w:pPr>
    </w:p>
    <w:p w14:paraId="5A6101CC" w14:textId="77777777">
      <w:pPr>
        <w:pStyle w:val="Heading2"/>
        <w:ind w:hanging="709"/>
        <w:rPr>
          <w:lang w:val="en-GB"/>
        </w:rPr>
      </w:pPr>
      <w:r>
        <w:rPr>
          <w:lang w:val="en-GB"/>
        </w:rPr>
        <w:t>Current project pipelines imply capacity well above what generation growth is on track to deliver by 2030, with data centres already driving a significant share of growth in EU demand</w:t>
      </w:r>
      <w:r>
        <w:rPr>
          <w:rStyle w:val="FootnoteReference"/>
          <w:lang w:val="en-GB"/>
        </w:rPr>
        <w:footnoteReference w:id="3"/>
      </w:r>
      <w:r>
        <w:rPr>
          <w:lang w:val="en-GB"/>
        </w:rPr>
        <w:t>. A tripling target without generation-adequacy checks risks becoming only aspirational. Faster connection processing alone risks intensifying competition for a fixed pool of power.</w:t>
      </w:r>
    </w:p>
    <w:p w14:paraId="568ECA72" w14:textId="77777777">
      <w:pPr>
        <w:pStyle w:val="Heading2"/>
        <w:numPr>
          <w:ilvl w:val="0"/>
          <w:numId w:val="0"/>
        </w:numPr>
        <w:rPr>
          <w:lang w:val="en-GB"/>
        </w:rPr>
      </w:pPr>
    </w:p>
    <w:p w14:paraId="3EF9615D" w14:textId="77777777">
      <w:pPr>
        <w:keepNext/>
        <w:keepLines/>
        <w:ind w:left="1134" w:hanging="567"/>
        <w:rPr>
          <w:i/>
          <w:iCs/>
          <w:lang w:val="en-GB"/>
        </w:rPr>
      </w:pPr>
      <w:r>
        <w:rPr>
          <w:i/>
          <w:iCs/>
          <w:lang w:val="en-GB"/>
        </w:rPr>
        <w:t>Arguments in support of recommendation 1.6</w:t>
      </w:r>
    </w:p>
    <w:p w14:paraId="0019007C" w14:textId="77777777">
      <w:pPr>
        <w:keepNext/>
        <w:keepLines/>
        <w:ind w:left="567" w:hanging="567"/>
        <w:rPr>
          <w:i/>
          <w:iCs/>
          <w:lang w:val="en-GB"/>
        </w:rPr>
      </w:pPr>
    </w:p>
    <w:p w14:paraId="5A344466" w14:textId="77777777">
      <w:pPr>
        <w:pStyle w:val="Heading2"/>
        <w:rPr>
          <w:lang w:val="en-GB"/>
        </w:rPr>
      </w:pPr>
      <w:r>
        <w:rPr>
          <w:lang w:val="en-GB"/>
        </w:rPr>
        <w:t>As noted under recommendation 1.3, data centre projects have substantial, lasting local effects. The proposal’s only reference to public involvement frames the relevant obligation as providing information with the aim of increasing public acceptance. This is a communications objective, not a baseline of rights for affected communities to submit observations capable of influencing the outcome. A time-limited consultation period is a necessary means of ensuring local participation.</w:t>
      </w:r>
    </w:p>
    <w:p w14:paraId="2230F578" w14:textId="77777777">
      <w:pPr>
        <w:rPr>
          <w:lang w:val="en-GB"/>
        </w:rPr>
      </w:pPr>
    </w:p>
    <w:p w14:paraId="4B45B9BC" w14:textId="77777777">
      <w:pPr>
        <w:pStyle w:val="Heading2"/>
        <w:rPr>
          <w:lang w:val="en-GB"/>
        </w:rPr>
      </w:pPr>
      <w:r>
        <w:rPr>
          <w:lang w:val="en-GB"/>
        </w:rPr>
        <w:t>Consultation alone does not address the lasting local burden of hosting a data centre, including noise, heat, and pressure on local water and energy resources; nor does the proposal require Member States to assess and reasonably mitigate the associated health risks before a zone is designated. The designation procedure should therefore include a mechanism to compensate the affected communities and clear guidance to assess and mitigate health risks, so that consultation is paired with substantive protections rather than standing alone.</w:t>
      </w:r>
    </w:p>
    <w:p w14:paraId="4CF34387" w14:textId="77777777">
      <w:pPr>
        <w:pStyle w:val="Heading2"/>
        <w:numPr>
          <w:ilvl w:val="0"/>
          <w:numId w:val="0"/>
        </w:numPr>
        <w:rPr>
          <w:lang w:val="en-GB"/>
        </w:rPr>
      </w:pPr>
    </w:p>
    <w:p w14:paraId="2B7270E7" w14:textId="77777777">
      <w:pPr>
        <w:keepNext/>
        <w:keepLines/>
        <w:ind w:left="1134" w:hanging="567"/>
        <w:rPr>
          <w:i/>
          <w:iCs/>
          <w:lang w:val="en-GB"/>
        </w:rPr>
      </w:pPr>
      <w:r>
        <w:rPr>
          <w:i/>
          <w:iCs/>
          <w:lang w:val="en-GB"/>
        </w:rPr>
        <w:t>Arguments in support of recommendation 1.7</w:t>
      </w:r>
    </w:p>
    <w:p w14:paraId="6062261B" w14:textId="77777777">
      <w:pPr>
        <w:keepNext/>
        <w:keepLines/>
        <w:ind w:left="567" w:hanging="567"/>
        <w:rPr>
          <w:i/>
          <w:iCs/>
          <w:lang w:val="en-GB"/>
        </w:rPr>
      </w:pPr>
    </w:p>
    <w:p w14:paraId="305CD1FF" w14:textId="77777777">
      <w:pPr>
        <w:pStyle w:val="Heading2"/>
        <w:rPr>
          <w:lang w:val="en-GB"/>
        </w:rPr>
      </w:pPr>
      <w:r>
        <w:rPr>
          <w:lang w:val="en-GB"/>
        </w:rPr>
        <w:t>The ‘Union added value’ criterion remains ancillary and not structurally significant in the award of contracts as its non-binding maximum weighting is approximately 15 out of 120 evaluation points under Recital 67, which provides non-binding guidance. The EESC recommends raising this weight to 40 evaluation points to meaningfully influence procurement outcomes, help reverse the market dependency and support demand for European-owned and European-operated services</w:t>
      </w:r>
      <w:r>
        <w:rPr>
          <w:rStyle w:val="FootnoteReference"/>
          <w:lang w:val="en-GB"/>
        </w:rPr>
        <w:footnoteReference w:id="4"/>
      </w:r>
      <w:r>
        <w:rPr>
          <w:lang w:val="en-GB"/>
        </w:rPr>
        <w:t>.</w:t>
      </w:r>
    </w:p>
    <w:p w14:paraId="73F0E499" w14:textId="77777777">
      <w:pPr>
        <w:pStyle w:val="Heading2"/>
        <w:numPr>
          <w:ilvl w:val="0"/>
          <w:numId w:val="0"/>
        </w:numPr>
        <w:ind w:left="567"/>
        <w:rPr>
          <w:lang w:val="en-GB"/>
        </w:rPr>
      </w:pPr>
    </w:p>
    <w:p w14:paraId="7B7EADED" w14:textId="77777777">
      <w:pPr>
        <w:keepNext/>
        <w:keepLines/>
        <w:ind w:left="567"/>
        <w:rPr>
          <w:i/>
          <w:iCs/>
          <w:lang w:val="en-GB"/>
        </w:rPr>
      </w:pPr>
      <w:r>
        <w:rPr>
          <w:i/>
          <w:iCs/>
          <w:lang w:val="en-GB"/>
        </w:rPr>
        <w:t>Arguments in support of recommendation 1.8</w:t>
      </w:r>
    </w:p>
    <w:p w14:paraId="45E3501D" w14:textId="77777777">
      <w:pPr>
        <w:keepNext/>
        <w:keepLines/>
        <w:ind w:left="567" w:hanging="567"/>
        <w:rPr>
          <w:i/>
          <w:iCs/>
          <w:lang w:val="en-GB"/>
        </w:rPr>
      </w:pPr>
    </w:p>
    <w:p w14:paraId="3C853B7B" w14:textId="77777777">
      <w:pPr>
        <w:pStyle w:val="Heading2"/>
        <w:rPr>
          <w:lang w:val="en-GB"/>
        </w:rPr>
      </w:pPr>
      <w:r>
        <w:rPr>
          <w:lang w:val="en-GB"/>
        </w:rPr>
        <w:t>The proposal sets ambitious environmental targets for data centres. However, the ‘Union added value’ procurement criteria cover only supply-chain, technology-origin and hardware factors. A common sustainability certification for cloud and AI services, covering energy and water efficiency, renewable sourcing and server utilisation, would give public buyers a reliable way to compare providers’ environmental performance, complementing the Energy Efficiency Directive scheme, which rates data centres as facilities rather than the services they deliver.</w:t>
      </w:r>
    </w:p>
    <w:p w14:paraId="5E47BA71" w14:textId="77777777">
      <w:pPr>
        <w:rPr>
          <w:lang w:val="en-GB"/>
        </w:rPr>
      </w:pPr>
    </w:p>
    <w:p w14:paraId="00C87C50" w14:textId="77777777">
      <w:pPr>
        <w:pStyle w:val="Heading2"/>
        <w:keepNext/>
        <w:numPr>
          <w:ilvl w:val="0"/>
          <w:numId w:val="0"/>
        </w:numPr>
        <w:ind w:left="567"/>
        <w:rPr>
          <w:i/>
          <w:iCs/>
          <w:lang w:val="en-GB"/>
        </w:rPr>
      </w:pPr>
      <w:r>
        <w:rPr>
          <w:i/>
          <w:iCs/>
          <w:lang w:val="en-GB"/>
        </w:rPr>
        <w:t>Arguments in support of recommendation 1.9</w:t>
      </w:r>
    </w:p>
    <w:p w14:paraId="2655B4D3" w14:textId="77777777">
      <w:pPr>
        <w:keepNext/>
        <w:keepLines/>
        <w:ind w:left="567" w:hanging="567"/>
        <w:rPr>
          <w:i/>
          <w:iCs/>
          <w:lang w:val="en-GB"/>
        </w:rPr>
      </w:pPr>
    </w:p>
    <w:p w14:paraId="4106B920" w14:textId="77777777">
      <w:pPr>
        <w:pStyle w:val="Heading2"/>
        <w:rPr>
          <w:lang w:val="en-GB"/>
        </w:rPr>
      </w:pPr>
      <w:r>
        <w:rPr>
          <w:lang w:val="en-GB"/>
        </w:rPr>
        <w:t>The proposal requires Member States to pursue an objective whereby at least 25% of relevant procurement is awarded to innovative SMEs, but a target expressed only in aspirational terms is unlikely to alter institutional purchasing behaviour. The Commission guidance to Member States should include concrete incentives, such as splitting large contracts into smaller parts that SMEs can bid for, setting aside a share of innovation contracts specifically for SMEs and simplified SME qualification conditions</w:t>
      </w:r>
      <w:r>
        <w:rPr>
          <w:rStyle w:val="FootnoteReference"/>
          <w:lang w:val="en-GB"/>
        </w:rPr>
        <w:footnoteReference w:id="5"/>
      </w:r>
      <w:r>
        <w:rPr>
          <w:lang w:val="en-GB"/>
        </w:rPr>
        <w:t>.</w:t>
      </w:r>
    </w:p>
    <w:p w14:paraId="39F8E7FD" w14:textId="77777777">
      <w:pPr>
        <w:ind w:left="567" w:hanging="567"/>
        <w:rPr>
          <w:lang w:val="en-GB"/>
        </w:rPr>
      </w:pPr>
    </w:p>
    <w:p w14:paraId="1CE8B186" w14:textId="77777777">
      <w:pPr>
        <w:keepNext/>
        <w:keepLines/>
        <w:ind w:left="567"/>
        <w:rPr>
          <w:i/>
          <w:iCs/>
          <w:lang w:val="en-GB"/>
        </w:rPr>
      </w:pPr>
      <w:r>
        <w:rPr>
          <w:i/>
          <w:iCs/>
          <w:lang w:val="en-GB"/>
        </w:rPr>
        <w:t>Arguments in support of recommendation 1.10</w:t>
      </w:r>
    </w:p>
    <w:p w14:paraId="25EF28A4" w14:textId="77777777">
      <w:pPr>
        <w:keepNext/>
        <w:keepLines/>
        <w:ind w:left="567" w:hanging="567"/>
        <w:rPr>
          <w:i/>
          <w:iCs/>
          <w:lang w:val="en-GB"/>
        </w:rPr>
      </w:pPr>
    </w:p>
    <w:p w14:paraId="62F6CF94" w14:textId="77777777">
      <w:pPr>
        <w:pStyle w:val="Heading2"/>
        <w:rPr>
          <w:lang w:val="en-GB"/>
        </w:rPr>
      </w:pPr>
      <w:r>
        <w:rPr>
          <w:lang w:val="en-GB"/>
        </w:rPr>
        <w:t>A curriculum with consequences for workforce transitions warrants a co-design with the social partners to reflect the needs of employers and workers and must be fully integrated into skills and development policy</w:t>
      </w:r>
      <w:r>
        <w:rPr>
          <w:rStyle w:val="FootnoteReference"/>
          <w:lang w:val="en-GB"/>
        </w:rPr>
        <w:footnoteReference w:id="6"/>
      </w:r>
      <w:r>
        <w:rPr>
          <w:lang w:val="en-GB"/>
        </w:rPr>
        <w:t>. The EESC points to the absence of any explicit reference to young people and young professionals, and requests that this be addressed.</w:t>
      </w:r>
    </w:p>
    <w:p w14:paraId="31863CDB" w14:textId="77777777">
      <w:pPr>
        <w:pStyle w:val="NormalWeb"/>
        <w:spacing w:before="0" w:beforeAutospacing="0" w:after="0" w:afterAutospacing="0" w:line="288" w:lineRule="auto"/>
        <w:ind w:left="567" w:hanging="567"/>
        <w:jc w:val="both"/>
        <w:rPr>
          <w:sz w:val="22"/>
          <w:szCs w:val="22"/>
          <w:lang w:val="en-GB"/>
        </w:rPr>
      </w:pPr>
    </w:p>
    <w:p w14:paraId="05D95A1B" w14:textId="77777777">
      <w:pPr>
        <w:keepNext/>
        <w:keepLines/>
        <w:ind w:left="567"/>
        <w:rPr>
          <w:i/>
          <w:iCs/>
          <w:lang w:val="en-GB"/>
        </w:rPr>
      </w:pPr>
      <w:r>
        <w:rPr>
          <w:i/>
          <w:iCs/>
          <w:lang w:val="en-GB"/>
        </w:rPr>
        <w:t>Arguments in support of recommendation 1.11</w:t>
      </w:r>
    </w:p>
    <w:p w14:paraId="7E62684A" w14:textId="77777777">
      <w:pPr>
        <w:keepNext/>
        <w:keepLines/>
        <w:ind w:left="567" w:hanging="567"/>
        <w:rPr>
          <w:lang w:val="en-GB"/>
        </w:rPr>
      </w:pPr>
    </w:p>
    <w:p w14:paraId="2047DEB6" w14:textId="77777777">
      <w:pPr>
        <w:pStyle w:val="Heading2"/>
        <w:rPr>
          <w:lang w:val="en-GB"/>
        </w:rPr>
      </w:pPr>
      <w:r>
        <w:rPr>
          <w:lang w:val="en-GB"/>
        </w:rPr>
        <w:t>Adoption at EU scale changes the absorbing side. Professionals relying on AI beyond its reliable range lose the ability to recognise its errors, and firms adopting these tools are cutting back on entry-level recruitment and on the workplace training of junior professionals. The future supply of the very skills the proposal seeks to build is being eroded at its source.</w:t>
      </w:r>
    </w:p>
    <w:p w14:paraId="0037C177" w14:textId="77777777">
      <w:pPr>
        <w:rPr>
          <w:lang w:val="en-GB"/>
        </w:rPr>
      </w:pPr>
    </w:p>
    <w:p w14:paraId="7605A16F" w14:textId="77777777">
      <w:pPr>
        <w:pStyle w:val="Heading2"/>
        <w:rPr>
          <w:lang w:val="en-GB"/>
        </w:rPr>
      </w:pPr>
      <w:r>
        <w:rPr>
          <w:lang w:val="en-GB"/>
        </w:rPr>
        <w:t>The same dynamic operates inside public administration: every efficiency gain deepens reliance on analysis that the institution is progressively less able to verify independently. Safety-critical industries have long recognised this failure mode: in aviation it is known as automation surprise, where human oversight fails precisely because the routine skill it depends on has atrophied. An institution that can no longer perform or meaningfully check the functions it has delegated has not gained autonomy from any provider; it has changed the supplier of its dependency.</w:t>
      </w:r>
    </w:p>
    <w:p w14:paraId="510F09CC" w14:textId="77777777">
      <w:pPr>
        <w:rPr>
          <w:lang w:val="en-GB"/>
        </w:rPr>
      </w:pPr>
    </w:p>
    <w:p w14:paraId="48F7C3AE" w14:textId="77777777">
      <w:pPr>
        <w:pStyle w:val="Heading2"/>
        <w:ind w:hanging="720"/>
        <w:rPr>
          <w:lang w:val="en-GB"/>
        </w:rPr>
      </w:pPr>
      <w:r>
        <w:rPr>
          <w:lang w:val="en-GB"/>
        </w:rPr>
        <w:t>The pattern common to both fronts, capability declining while measured output remains stable, described as silent erosion, is invisible to conventional monitoring by construction: the indicators stay green while the capacity beneath them weakens. The EESC considers that an instrument designed to accelerate adoption across the EU is also the natural instrument for monitoring what that adoption does to the capacity that must absorb it.</w:t>
      </w:r>
    </w:p>
    <w:p w14:paraId="641ACB9E" w14:textId="77777777">
      <w:pPr>
        <w:rPr>
          <w:lang w:val="en-GB"/>
        </w:rPr>
      </w:pPr>
    </w:p>
    <w:p w14:paraId="73024B54" w14:textId="77777777">
      <w:pPr>
        <w:pStyle w:val="Heading1"/>
        <w:keepNext/>
        <w:rPr>
          <w:b/>
          <w:bCs/>
          <w:lang w:val="en-GB"/>
        </w:rPr>
      </w:pPr>
      <w:r>
        <w:rPr>
          <w:b/>
          <w:bCs/>
          <w:lang w:val="en-GB"/>
        </w:rPr>
        <w:t>PROPOSED AMENDMENTS TO THE LEGISLATIVE PROPOSAL OF THE EUROPEAN COMMISSION</w:t>
      </w:r>
    </w:p>
    <w:p w14:paraId="3A10DB0A" w14:textId="77777777">
      <w:pPr>
        <w:keepNext/>
        <w:keepLines/>
        <w:rPr>
          <w:lang w:val="en-GB"/>
        </w:rPr>
      </w:pPr>
    </w:p>
    <w:p w14:paraId="33AFDC7C" w14:textId="77777777">
      <w:pPr>
        <w:pStyle w:val="Heading2"/>
        <w:keepNext/>
        <w:numPr>
          <w:ilvl w:val="0"/>
          <w:numId w:val="0"/>
        </w:numPr>
        <w:ind w:left="567" w:hanging="567"/>
        <w:rPr>
          <w:b/>
          <w:bCs/>
          <w:lang w:val="en-GB"/>
        </w:rPr>
      </w:pPr>
      <w:r>
        <w:rPr>
          <w:b/>
          <w:bCs/>
          <w:lang w:val="en-GB"/>
        </w:rPr>
        <w:t>Amendment 1</w:t>
      </w:r>
    </w:p>
    <w:p w14:paraId="7CAA5051" w14:textId="77777777">
      <w:pPr>
        <w:keepNext/>
        <w:keepLines/>
        <w:jc w:val="left"/>
        <w:rPr>
          <w:lang w:val="en-GB"/>
        </w:rPr>
      </w:pPr>
      <w:r>
        <w:rPr>
          <w:lang w:val="en-GB"/>
        </w:rPr>
        <w:t xml:space="preserve">linked to recommendation 5 (Article 10(2)) </w:t>
      </w:r>
    </w:p>
    <w:p w14:paraId="2CD83A60" w14:textId="77777777">
      <w:pPr>
        <w:keepNext/>
        <w:keepLines/>
        <w:jc w:val="left"/>
        <w:rPr>
          <w:lang w:val="en-GB"/>
        </w:rPr>
      </w:pPr>
    </w:p>
    <w:tbl>
      <w:tblPr>
        <w:tblW w:w="0" w:type="auto"/>
        <w:tblBorders>
          <w:top w:val="outset" w:color="auto" w:sz="6" w:space="0"/>
          <w:left w:val="outset" w:color="auto" w:sz="6" w:space="0"/>
          <w:bottom w:val="outset" w:color="auto" w:sz="6" w:space="0"/>
          <w:right w:val="outset" w:color="auto" w:sz="6" w:space="0"/>
        </w:tblBorders>
        <w:tblLayout w:type="fixed"/>
        <w:tblCellMar>
          <w:left w:w="85" w:type="dxa"/>
          <w:right w:w="85" w:type="dxa"/>
        </w:tblCellMar>
        <w:tblLook w:val="04A0" w:firstRow="1" w:lastRow="0" w:firstColumn="1" w:lastColumn="0" w:noHBand="0" w:noVBand="1"/>
      </w:tblPr>
      <w:tblGrid>
        <w:gridCol w:w="4529"/>
        <w:gridCol w:w="4528"/>
      </w:tblGrid>
      <w:tr w14:paraId="4F89A1E2" w14:textId="77777777">
        <w:trPr>
          <w:trHeight w:val="300"/>
        </w:trPr>
        <w:tc>
          <w:tcPr>
            <w:tcW w:w="4529" w:type="dxa"/>
            <w:tcBorders>
              <w:top w:val="single" w:color="auto" w:sz="2" w:space="0"/>
              <w:left w:val="single" w:color="auto" w:sz="2" w:space="0"/>
              <w:bottom w:val="single" w:color="auto" w:sz="2" w:space="0"/>
              <w:right w:val="single" w:color="auto" w:sz="2" w:space="0"/>
            </w:tcBorders>
            <w:hideMark/>
          </w:tcPr>
          <w:p w14:paraId="7E442D98" w14:textId="77777777">
            <w:pPr>
              <w:keepNext/>
              <w:jc w:val="center"/>
              <w:rPr>
                <w:strike/>
                <w:lang w:val="en-GB"/>
              </w:rPr>
            </w:pPr>
            <w:r>
              <w:rPr>
                <w:b/>
                <w:bCs/>
                <w:lang w:val="en-GB"/>
              </w:rPr>
              <w:t>Text proposed by the European Commission</w:t>
            </w:r>
          </w:p>
        </w:tc>
        <w:tc>
          <w:tcPr>
            <w:tcW w:w="4528" w:type="dxa"/>
            <w:tcBorders>
              <w:top w:val="single" w:color="auto" w:sz="2" w:space="0"/>
              <w:left w:val="single" w:color="auto" w:sz="2" w:space="0"/>
              <w:bottom w:val="single" w:color="auto" w:sz="2" w:space="0"/>
              <w:right w:val="single" w:color="auto" w:sz="2" w:space="0"/>
            </w:tcBorders>
            <w:hideMark/>
          </w:tcPr>
          <w:p w14:paraId="18960D51" w14:textId="77777777">
            <w:pPr>
              <w:jc w:val="center"/>
              <w:rPr>
                <w:lang w:val="en-GB"/>
              </w:rPr>
            </w:pPr>
            <w:r>
              <w:rPr>
                <w:b/>
                <w:bCs/>
                <w:lang w:val="en-GB"/>
              </w:rPr>
              <w:t>EESC amendment</w:t>
            </w:r>
          </w:p>
        </w:tc>
      </w:tr>
      <w:tr w14:paraId="2B743945" w14:textId="77777777">
        <w:trPr>
          <w:trHeight w:val="300"/>
        </w:trPr>
        <w:tc>
          <w:tcPr>
            <w:tcW w:w="4529" w:type="dxa"/>
            <w:tcBorders>
              <w:top w:val="single" w:color="auto" w:sz="2" w:space="0"/>
              <w:left w:val="single" w:color="auto" w:sz="6" w:space="0"/>
              <w:bottom w:val="single" w:color="auto" w:sz="6" w:space="0"/>
              <w:right w:val="single" w:color="auto" w:sz="6" w:space="0"/>
            </w:tcBorders>
            <w:hideMark/>
          </w:tcPr>
          <w:p w14:paraId="6E14438D" w14:textId="77777777">
            <w:r>
              <w:t>Member States, where appropriate to facilitate the development of acceleration zones, shall:</w:t>
            </w:r>
          </w:p>
          <w:p w14:paraId="1A705A02" w14:textId="77777777">
            <w:r>
              <w:t>[…]</w:t>
            </w:r>
          </w:p>
          <w:p w14:paraId="6339B3D9" w14:textId="77777777">
            <w:pPr>
              <w:ind w:left="30" w:right="30"/>
              <w:rPr>
                <w:lang w:val="en-GB"/>
              </w:rPr>
            </w:pPr>
          </w:p>
        </w:tc>
        <w:tc>
          <w:tcPr>
            <w:tcW w:w="4528" w:type="dxa"/>
            <w:tcBorders>
              <w:top w:val="single" w:color="auto" w:sz="2" w:space="0"/>
              <w:left w:val="single" w:color="auto" w:sz="6" w:space="0"/>
              <w:bottom w:val="single" w:color="auto" w:sz="6" w:space="0"/>
              <w:right w:val="single" w:color="auto" w:sz="6" w:space="0"/>
            </w:tcBorders>
            <w:hideMark/>
          </w:tcPr>
          <w:p w14:paraId="37B583B8" w14:textId="77777777">
            <w:r>
              <w:t>Member States, where appropriate to facilitate the development of acceleration zones, shall:</w:t>
            </w:r>
          </w:p>
          <w:p w14:paraId="498AF54C" w14:textId="77777777">
            <w:pPr>
              <w:ind w:left="30" w:right="30"/>
              <w:rPr>
                <w:lang w:val="en-GB"/>
              </w:rPr>
            </w:pPr>
            <w:r>
              <w:rPr>
                <w:lang w:val="en-GB"/>
              </w:rPr>
              <w:t>[…]</w:t>
            </w:r>
          </w:p>
          <w:p w14:paraId="72F13B13" w14:textId="77777777">
            <w:pPr>
              <w:ind w:left="30" w:right="30"/>
              <w:rPr>
                <w:i/>
                <w:iCs/>
                <w:lang w:val="en-GB"/>
              </w:rPr>
            </w:pPr>
            <w:r>
              <w:rPr>
                <w:b/>
                <w:bCs/>
                <w:i/>
                <w:iCs/>
                <w:lang w:val="en-GB"/>
              </w:rPr>
              <w:t>(c) ensure that the transmission system operators and distribution system operators referred to in point (b), upon a reasoned request from a data centre operator or project promoter, communicate the available and anticipated connection capacity for the site concerned within six months of that request, together with an estimated timeline and cost for any necessary network reinforcement.</w:t>
            </w:r>
          </w:p>
        </w:tc>
      </w:tr>
    </w:tbl>
    <w:p w14:paraId="24C5DF2A" w14:textId="77777777">
      <w:pPr>
        <w:jc w:val="center"/>
        <w:rPr>
          <w:lang w:val="en-GB"/>
        </w:rPr>
      </w:pPr>
    </w:p>
    <w:tbl>
      <w:tblPr>
        <w:tblW w:w="0" w:type="auto"/>
        <w:tblBorders>
          <w:top w:val="outset" w:color="auto" w:sz="6" w:space="0"/>
          <w:left w:val="outset" w:color="auto" w:sz="6" w:space="0"/>
          <w:bottom w:val="outset" w:color="auto" w:sz="6" w:space="0"/>
          <w:right w:val="outset" w:color="auto" w:sz="6" w:space="0"/>
        </w:tblBorders>
        <w:tblLayout w:type="fixed"/>
        <w:tblCellMar>
          <w:left w:w="85" w:type="dxa"/>
          <w:right w:w="85" w:type="dxa"/>
        </w:tblCellMar>
        <w:tblLook w:val="04A0" w:firstRow="1" w:lastRow="0" w:firstColumn="1" w:lastColumn="0" w:noHBand="0" w:noVBand="1"/>
      </w:tblPr>
      <w:tblGrid>
        <w:gridCol w:w="9057"/>
      </w:tblGrid>
      <w:tr w14:paraId="1B491DDF" w14:textId="77777777">
        <w:trPr>
          <w:trHeight w:val="300"/>
        </w:trPr>
        <w:tc>
          <w:tcPr>
            <w:tcW w:w="9057" w:type="dxa"/>
            <w:tcBorders>
              <w:top w:val="single" w:color="auto" w:sz="2" w:space="0"/>
              <w:left w:val="single" w:color="auto" w:sz="2" w:space="0"/>
              <w:bottom w:val="single" w:color="auto" w:sz="2" w:space="0"/>
              <w:right w:val="single" w:color="auto" w:sz="2" w:space="0"/>
            </w:tcBorders>
            <w:hideMark/>
          </w:tcPr>
          <w:p w14:paraId="560F1297" w14:textId="77777777">
            <w:pPr>
              <w:keepNext/>
              <w:keepLines/>
              <w:jc w:val="center"/>
              <w:rPr>
                <w:lang w:val="en-GB"/>
              </w:rPr>
            </w:pPr>
            <w:r>
              <w:rPr>
                <w:b/>
                <w:bCs/>
                <w:lang w:val="en-GB"/>
              </w:rPr>
              <w:t>Reason</w:t>
            </w:r>
          </w:p>
        </w:tc>
      </w:tr>
      <w:tr w14:paraId="61D9A1E5" w14:textId="77777777">
        <w:trPr>
          <w:trHeight w:val="300"/>
        </w:trPr>
        <w:tc>
          <w:tcPr>
            <w:tcW w:w="9057" w:type="dxa"/>
            <w:tcBorders>
              <w:top w:val="single" w:color="auto" w:sz="2" w:space="0"/>
              <w:left w:val="single" w:color="auto" w:sz="6" w:space="0"/>
              <w:bottom w:val="single" w:color="auto" w:sz="6" w:space="0"/>
              <w:right w:val="single" w:color="auto" w:sz="6" w:space="0"/>
            </w:tcBorders>
            <w:hideMark/>
          </w:tcPr>
          <w:p w14:paraId="5F0BC6E1" w14:textId="77777777">
            <w:pPr>
              <w:ind w:left="28" w:right="28"/>
              <w:rPr>
                <w:lang w:val="en-GB"/>
              </w:rPr>
            </w:pPr>
            <w:r>
              <w:rPr>
                <w:lang w:val="en-GB"/>
              </w:rPr>
              <w:t>Article 10(2)(b) requires network operators’ development plans to take account of the acceleration-zone energy analysis but sets no deadline by which an individual operator learns what capacity is actually available at a given site. This is leaving connection timelines opaque where investment decisions depend on them. Point (c) closes that gap with a binding response time, without removing the existing planning obligation.</w:t>
            </w:r>
          </w:p>
        </w:tc>
      </w:tr>
    </w:tbl>
    <w:p w14:paraId="7524A734" w14:textId="77777777">
      <w:pPr>
        <w:jc w:val="left"/>
        <w:rPr>
          <w:lang w:val="en-GB"/>
        </w:rPr>
      </w:pPr>
    </w:p>
    <w:p w14:paraId="1A2F6E01" w14:textId="77777777">
      <w:pPr>
        <w:pStyle w:val="Heading2"/>
        <w:keepNext/>
        <w:numPr>
          <w:ilvl w:val="0"/>
          <w:numId w:val="0"/>
        </w:numPr>
        <w:rPr>
          <w:b/>
          <w:bCs/>
          <w:lang w:val="en-GB"/>
        </w:rPr>
      </w:pPr>
      <w:r>
        <w:rPr>
          <w:b/>
          <w:bCs/>
          <w:lang w:val="en-GB"/>
        </w:rPr>
        <w:t>Amendment 2</w:t>
      </w:r>
    </w:p>
    <w:p w14:paraId="289BD66F" w14:textId="77777777">
      <w:pPr>
        <w:keepNext/>
        <w:keepLines/>
        <w:jc w:val="left"/>
        <w:rPr>
          <w:lang w:val="en-GB"/>
        </w:rPr>
      </w:pPr>
      <w:r>
        <w:rPr>
          <w:lang w:val="en-GB"/>
        </w:rPr>
        <w:t>linked to recommendation 1.6 (Article 10)</w:t>
      </w:r>
    </w:p>
    <w:p w14:paraId="7D7E3165" w14:textId="77777777">
      <w:pPr>
        <w:keepNext/>
        <w:keepLines/>
        <w:jc w:val="left"/>
        <w:rPr>
          <w:lang w:val="en-GB"/>
        </w:rPr>
      </w:pPr>
    </w:p>
    <w:tbl>
      <w:tblPr>
        <w:tblW w:w="0" w:type="auto"/>
        <w:tblBorders>
          <w:top w:val="outset" w:color="auto" w:sz="6" w:space="0"/>
          <w:left w:val="outset" w:color="auto" w:sz="6" w:space="0"/>
          <w:bottom w:val="outset" w:color="auto" w:sz="6" w:space="0"/>
          <w:right w:val="outset" w:color="auto" w:sz="6" w:space="0"/>
        </w:tblBorders>
        <w:tblLayout w:type="fixed"/>
        <w:tblCellMar>
          <w:left w:w="85" w:type="dxa"/>
          <w:right w:w="85" w:type="dxa"/>
        </w:tblCellMar>
        <w:tblLook w:val="04A0" w:firstRow="1" w:lastRow="0" w:firstColumn="1" w:lastColumn="0" w:noHBand="0" w:noVBand="1"/>
      </w:tblPr>
      <w:tblGrid>
        <w:gridCol w:w="4529"/>
        <w:gridCol w:w="4528"/>
      </w:tblGrid>
      <w:tr w14:paraId="4DD566A4" w14:textId="77777777">
        <w:trPr>
          <w:trHeight w:val="300"/>
        </w:trPr>
        <w:tc>
          <w:tcPr>
            <w:tcW w:w="4529" w:type="dxa"/>
            <w:tcBorders>
              <w:top w:val="single" w:color="auto" w:sz="2" w:space="0"/>
              <w:left w:val="single" w:color="auto" w:sz="2" w:space="0"/>
              <w:bottom w:val="single" w:color="auto" w:sz="2" w:space="0"/>
              <w:right w:val="single" w:color="auto" w:sz="2" w:space="0"/>
            </w:tcBorders>
            <w:hideMark/>
          </w:tcPr>
          <w:p w14:paraId="6D39DE0F" w14:textId="77777777">
            <w:pPr>
              <w:keepNext/>
              <w:jc w:val="center"/>
              <w:rPr>
                <w:strike/>
                <w:lang w:val="en-GB"/>
              </w:rPr>
            </w:pPr>
            <w:r>
              <w:rPr>
                <w:b/>
                <w:bCs/>
                <w:lang w:val="en-GB"/>
              </w:rPr>
              <w:t>Text proposed by the European Commission</w:t>
            </w:r>
          </w:p>
        </w:tc>
        <w:tc>
          <w:tcPr>
            <w:tcW w:w="4528" w:type="dxa"/>
            <w:tcBorders>
              <w:top w:val="single" w:color="auto" w:sz="2" w:space="0"/>
              <w:left w:val="single" w:color="auto" w:sz="2" w:space="0"/>
              <w:bottom w:val="single" w:color="auto" w:sz="2" w:space="0"/>
              <w:right w:val="single" w:color="auto" w:sz="2" w:space="0"/>
            </w:tcBorders>
            <w:hideMark/>
          </w:tcPr>
          <w:p w14:paraId="6008D4B7" w14:textId="77777777">
            <w:pPr>
              <w:jc w:val="center"/>
              <w:rPr>
                <w:lang w:val="en-GB"/>
              </w:rPr>
            </w:pPr>
            <w:r>
              <w:rPr>
                <w:b/>
                <w:bCs/>
                <w:lang w:val="en-GB"/>
              </w:rPr>
              <w:t>EESC amendment</w:t>
            </w:r>
          </w:p>
        </w:tc>
      </w:tr>
      <w:tr w14:paraId="75AC2BD8" w14:textId="77777777">
        <w:trPr>
          <w:trHeight w:val="300"/>
        </w:trPr>
        <w:tc>
          <w:tcPr>
            <w:tcW w:w="4529" w:type="dxa"/>
            <w:tcBorders>
              <w:top w:val="single" w:color="auto" w:sz="2" w:space="0"/>
              <w:left w:val="single" w:color="auto" w:sz="6" w:space="0"/>
              <w:bottom w:val="single" w:color="auto" w:sz="6" w:space="0"/>
              <w:right w:val="single" w:color="auto" w:sz="6" w:space="0"/>
            </w:tcBorders>
            <w:hideMark/>
          </w:tcPr>
          <w:p w14:paraId="0ECF8C94" w14:textId="77777777">
            <w:pPr>
              <w:ind w:left="30" w:right="30"/>
              <w:rPr>
                <w:lang w:val="en-GB"/>
              </w:rPr>
            </w:pPr>
          </w:p>
        </w:tc>
        <w:tc>
          <w:tcPr>
            <w:tcW w:w="4528" w:type="dxa"/>
            <w:tcBorders>
              <w:top w:val="single" w:color="auto" w:sz="2" w:space="0"/>
              <w:left w:val="single" w:color="auto" w:sz="6" w:space="0"/>
              <w:bottom w:val="single" w:color="auto" w:sz="6" w:space="0"/>
              <w:right w:val="single" w:color="auto" w:sz="6" w:space="0"/>
            </w:tcBorders>
            <w:hideMark/>
          </w:tcPr>
          <w:p w14:paraId="4B50CBED" w14:textId="77777777">
            <w:pPr>
              <w:ind w:left="30" w:right="30"/>
              <w:rPr>
                <w:b/>
                <w:bCs/>
                <w:i/>
                <w:iCs/>
                <w:lang w:val="en-GB"/>
              </w:rPr>
            </w:pPr>
            <w:r>
              <w:rPr>
                <w:b/>
                <w:bCs/>
                <w:i/>
                <w:iCs/>
                <w:lang w:val="en-GB"/>
              </w:rPr>
              <w:t>5. Before designating an acceleration zone, the Member State concerned shall organise a defined, time-limited public consultation period for the local community affected, going beyond the information obligation referred to in Article 12(2)(e). Member States are invited to set up a compensation mechanism for local communities affected by data centres and to assess and mitigate the health risks associated with the operation of data centres, including noise, heat and exploitation of water and energy resources.</w:t>
            </w:r>
          </w:p>
        </w:tc>
      </w:tr>
    </w:tbl>
    <w:p w14:paraId="691AFB1F" w14:textId="77777777">
      <w:pPr>
        <w:jc w:val="center"/>
        <w:rPr>
          <w:lang w:val="en-GB"/>
        </w:rPr>
      </w:pPr>
    </w:p>
    <w:tbl>
      <w:tblPr>
        <w:tblW w:w="0" w:type="auto"/>
        <w:tblBorders>
          <w:top w:val="outset" w:color="auto" w:sz="6" w:space="0"/>
          <w:left w:val="outset" w:color="auto" w:sz="6" w:space="0"/>
          <w:bottom w:val="outset" w:color="auto" w:sz="6" w:space="0"/>
          <w:right w:val="outset" w:color="auto" w:sz="6" w:space="0"/>
        </w:tblBorders>
        <w:tblLayout w:type="fixed"/>
        <w:tblCellMar>
          <w:left w:w="85" w:type="dxa"/>
          <w:right w:w="85" w:type="dxa"/>
        </w:tblCellMar>
        <w:tblLook w:val="04A0" w:firstRow="1" w:lastRow="0" w:firstColumn="1" w:lastColumn="0" w:noHBand="0" w:noVBand="1"/>
      </w:tblPr>
      <w:tblGrid>
        <w:gridCol w:w="9057"/>
      </w:tblGrid>
      <w:tr w14:paraId="434A8482" w14:textId="77777777">
        <w:trPr>
          <w:trHeight w:val="300"/>
        </w:trPr>
        <w:tc>
          <w:tcPr>
            <w:tcW w:w="9057" w:type="dxa"/>
            <w:tcBorders>
              <w:top w:val="single" w:color="auto" w:sz="2" w:space="0"/>
              <w:left w:val="single" w:color="auto" w:sz="2" w:space="0"/>
              <w:bottom w:val="single" w:color="auto" w:sz="2" w:space="0"/>
              <w:right w:val="single" w:color="auto" w:sz="2" w:space="0"/>
            </w:tcBorders>
            <w:hideMark/>
          </w:tcPr>
          <w:p w14:paraId="4B20C5A1" w14:textId="77777777">
            <w:pPr>
              <w:keepNext/>
              <w:keepLines/>
              <w:jc w:val="center"/>
              <w:rPr>
                <w:lang w:val="en-GB"/>
              </w:rPr>
            </w:pPr>
            <w:r>
              <w:rPr>
                <w:b/>
                <w:bCs/>
                <w:lang w:val="en-GB"/>
              </w:rPr>
              <w:t>Reason</w:t>
            </w:r>
          </w:p>
        </w:tc>
      </w:tr>
      <w:tr w14:paraId="18DD51C8" w14:textId="77777777">
        <w:trPr>
          <w:trHeight w:val="300"/>
        </w:trPr>
        <w:tc>
          <w:tcPr>
            <w:tcW w:w="9057" w:type="dxa"/>
            <w:tcBorders>
              <w:top w:val="single" w:color="auto" w:sz="2" w:space="0"/>
              <w:left w:val="single" w:color="auto" w:sz="6" w:space="0"/>
              <w:bottom w:val="single" w:color="auto" w:sz="6" w:space="0"/>
              <w:right w:val="single" w:color="auto" w:sz="6" w:space="0"/>
            </w:tcBorders>
            <w:hideMark/>
          </w:tcPr>
          <w:p w14:paraId="1CCA52F5" w14:textId="77777777">
            <w:pPr>
              <w:keepNext/>
              <w:keepLines/>
              <w:ind w:left="30" w:right="30"/>
              <w:rPr>
                <w:lang w:val="en-GB"/>
              </w:rPr>
            </w:pPr>
            <w:r>
              <w:rPr>
                <w:lang w:val="en-GB" w:eastAsia="en-GB"/>
              </w:rPr>
              <w:t>Article 12(2)(e) frames public involvement solely as providing information to the public, which is a communications objective, not a right to be consulted or protected. Article 10 does not require that health risks be assessed or mitigated, or that communities be compensated for the lasting local burden of hosting a data centre. This amendment gives the designation procedure a substantive, not merely informational, obligation toward affected communities.</w:t>
            </w:r>
          </w:p>
        </w:tc>
      </w:tr>
    </w:tbl>
    <w:p w14:paraId="7D9711C9" w14:textId="77777777">
      <w:pPr>
        <w:jc w:val="left"/>
        <w:rPr>
          <w:lang w:val="en-GB"/>
        </w:rPr>
      </w:pPr>
    </w:p>
    <w:p w14:paraId="27924BB3" w14:textId="77777777">
      <w:pPr>
        <w:pStyle w:val="Heading2"/>
        <w:numPr>
          <w:ilvl w:val="0"/>
          <w:numId w:val="0"/>
        </w:numPr>
        <w:rPr>
          <w:b/>
          <w:bCs/>
          <w:lang w:val="en-GB"/>
        </w:rPr>
      </w:pPr>
      <w:r>
        <w:rPr>
          <w:b/>
          <w:bCs/>
          <w:lang w:val="en-GB"/>
        </w:rPr>
        <w:t>Amendment 3</w:t>
      </w:r>
    </w:p>
    <w:p w14:paraId="326ED949" w14:textId="77777777">
      <w:pPr>
        <w:keepNext/>
        <w:keepLines/>
        <w:jc w:val="left"/>
        <w:rPr>
          <w:lang w:val="en-GB"/>
        </w:rPr>
      </w:pPr>
      <w:r>
        <w:rPr>
          <w:lang w:val="en-GB"/>
        </w:rPr>
        <w:t>linked to recommendation 7 (Recital 67)</w:t>
      </w:r>
    </w:p>
    <w:p w14:paraId="61929564" w14:textId="77777777">
      <w:pPr>
        <w:keepNext/>
        <w:keepLines/>
        <w:jc w:val="left"/>
        <w:rPr>
          <w:lang w:val="en-GB"/>
        </w:rPr>
      </w:pPr>
    </w:p>
    <w:tbl>
      <w:tblPr>
        <w:tblW w:w="0" w:type="auto"/>
        <w:tblBorders>
          <w:top w:val="outset" w:color="auto" w:sz="6" w:space="0"/>
          <w:left w:val="outset" w:color="auto" w:sz="6" w:space="0"/>
          <w:bottom w:val="outset" w:color="auto" w:sz="6" w:space="0"/>
          <w:right w:val="outset" w:color="auto" w:sz="6" w:space="0"/>
        </w:tblBorders>
        <w:tblLayout w:type="fixed"/>
        <w:tblCellMar>
          <w:left w:w="85" w:type="dxa"/>
          <w:right w:w="85" w:type="dxa"/>
        </w:tblCellMar>
        <w:tblLook w:val="04A0" w:firstRow="1" w:lastRow="0" w:firstColumn="1" w:lastColumn="0" w:noHBand="0" w:noVBand="1"/>
      </w:tblPr>
      <w:tblGrid>
        <w:gridCol w:w="4529"/>
        <w:gridCol w:w="4528"/>
      </w:tblGrid>
      <w:tr w14:paraId="3CB88D6E" w14:textId="77777777">
        <w:trPr>
          <w:trHeight w:val="300"/>
        </w:trPr>
        <w:tc>
          <w:tcPr>
            <w:tcW w:w="4529" w:type="dxa"/>
            <w:tcBorders>
              <w:top w:val="single" w:color="auto" w:sz="2" w:space="0"/>
              <w:left w:val="single" w:color="auto" w:sz="2" w:space="0"/>
              <w:bottom w:val="single" w:color="auto" w:sz="2" w:space="0"/>
              <w:right w:val="single" w:color="auto" w:sz="2" w:space="0"/>
            </w:tcBorders>
            <w:hideMark/>
          </w:tcPr>
          <w:p w14:paraId="4F7A0F4B" w14:textId="77777777">
            <w:pPr>
              <w:jc w:val="center"/>
              <w:rPr>
                <w:strike/>
                <w:lang w:val="en-GB"/>
              </w:rPr>
            </w:pPr>
            <w:r>
              <w:rPr>
                <w:b/>
                <w:bCs/>
                <w:lang w:val="en-GB"/>
              </w:rPr>
              <w:t>Text proposed by the European Commission</w:t>
            </w:r>
          </w:p>
        </w:tc>
        <w:tc>
          <w:tcPr>
            <w:tcW w:w="4528" w:type="dxa"/>
            <w:tcBorders>
              <w:top w:val="single" w:color="auto" w:sz="2" w:space="0"/>
              <w:left w:val="single" w:color="auto" w:sz="2" w:space="0"/>
              <w:bottom w:val="single" w:color="auto" w:sz="2" w:space="0"/>
              <w:right w:val="single" w:color="auto" w:sz="2" w:space="0"/>
            </w:tcBorders>
            <w:hideMark/>
          </w:tcPr>
          <w:p w14:paraId="18A994A7" w14:textId="77777777">
            <w:pPr>
              <w:jc w:val="center"/>
              <w:rPr>
                <w:lang w:val="en-GB"/>
              </w:rPr>
            </w:pPr>
            <w:r>
              <w:rPr>
                <w:b/>
                <w:bCs/>
                <w:lang w:val="en-GB"/>
              </w:rPr>
              <w:t>EESC amendment</w:t>
            </w:r>
          </w:p>
        </w:tc>
      </w:tr>
      <w:tr w14:paraId="7DA383AF" w14:textId="77777777">
        <w:trPr>
          <w:trHeight w:val="300"/>
        </w:trPr>
        <w:tc>
          <w:tcPr>
            <w:tcW w:w="4529" w:type="dxa"/>
            <w:tcBorders>
              <w:top w:val="single" w:color="auto" w:sz="2" w:space="0"/>
              <w:left w:val="single" w:color="auto" w:sz="6" w:space="0"/>
              <w:bottom w:val="single" w:color="auto" w:sz="6" w:space="0"/>
              <w:right w:val="single" w:color="auto" w:sz="6" w:space="0"/>
            </w:tcBorders>
            <w:hideMark/>
          </w:tcPr>
          <w:p w14:paraId="0F1688BC" w14:textId="77777777">
            <w:pPr>
              <w:ind w:left="30" w:right="30"/>
              <w:rPr>
                <w:lang w:val="en-GB"/>
              </w:rPr>
            </w:pPr>
            <w:r>
              <w:rPr>
                <w:lang w:val="en-GB"/>
              </w:rPr>
              <w:t xml:space="preserve">In public procurement procedures for cloud computing services and AI systems, contracting authorities should include clear European added value as part of the quality evaluation of the tender. […] For this purpose, contracting authorities could consider a maximum weighting of </w:t>
            </w:r>
            <w:r>
              <w:rPr>
                <w:b/>
                <w:bCs/>
                <w:i/>
                <w:iCs/>
                <w:lang w:val="en-GB"/>
              </w:rPr>
              <w:t>15</w:t>
            </w:r>
            <w:r>
              <w:rPr>
                <w:lang w:val="en-GB"/>
              </w:rPr>
              <w:t xml:space="preserve"> out of 120 points to be allocated to European added value within the overall evaluation methodology, ensuring that it remains proportionate and subordinate to the core contract award criteria.</w:t>
            </w:r>
          </w:p>
        </w:tc>
        <w:tc>
          <w:tcPr>
            <w:tcW w:w="4528" w:type="dxa"/>
            <w:tcBorders>
              <w:top w:val="single" w:color="auto" w:sz="2" w:space="0"/>
              <w:left w:val="single" w:color="auto" w:sz="6" w:space="0"/>
              <w:bottom w:val="single" w:color="auto" w:sz="6" w:space="0"/>
              <w:right w:val="single" w:color="auto" w:sz="6" w:space="0"/>
            </w:tcBorders>
            <w:hideMark/>
          </w:tcPr>
          <w:p w14:paraId="6E884A9E" w14:textId="77777777">
            <w:pPr>
              <w:ind w:left="30" w:right="30"/>
              <w:rPr>
                <w:lang w:val="en-GB"/>
              </w:rPr>
            </w:pPr>
            <w:r>
              <w:rPr>
                <w:lang w:val="en-GB"/>
              </w:rPr>
              <w:t xml:space="preserve">In public procurement procedures for cloud computing services and AI systems, contracting authorities should include clear European added value as part of the quality evaluation of the tender. […] For this purpose, contracting authorities could consider a maximum weighting of </w:t>
            </w:r>
            <w:r>
              <w:rPr>
                <w:b/>
                <w:bCs/>
                <w:i/>
                <w:iCs/>
                <w:lang w:val="en-GB"/>
              </w:rPr>
              <w:t>40</w:t>
            </w:r>
            <w:r>
              <w:rPr>
                <w:lang w:val="en-GB"/>
              </w:rPr>
              <w:t xml:space="preserve"> out of 120 points to be allocated to European added value within the overall evaluation methodology, ensuring that it remains proportionate and subordinate to the core contract award criteria.</w:t>
            </w:r>
          </w:p>
        </w:tc>
      </w:tr>
    </w:tbl>
    <w:p w14:paraId="04FFCD2F" w14:textId="77777777">
      <w:pPr>
        <w:jc w:val="center"/>
        <w:rPr>
          <w:lang w:val="en-GB"/>
        </w:rPr>
      </w:pPr>
    </w:p>
    <w:tbl>
      <w:tblPr>
        <w:tblW w:w="0" w:type="auto"/>
        <w:tblBorders>
          <w:top w:val="outset" w:color="auto" w:sz="6" w:space="0"/>
          <w:left w:val="outset" w:color="auto" w:sz="6" w:space="0"/>
          <w:bottom w:val="outset" w:color="auto" w:sz="6" w:space="0"/>
          <w:right w:val="outset" w:color="auto" w:sz="6" w:space="0"/>
        </w:tblBorders>
        <w:tblLayout w:type="fixed"/>
        <w:tblCellMar>
          <w:left w:w="85" w:type="dxa"/>
          <w:right w:w="85" w:type="dxa"/>
        </w:tblCellMar>
        <w:tblLook w:val="04A0" w:firstRow="1" w:lastRow="0" w:firstColumn="1" w:lastColumn="0" w:noHBand="0" w:noVBand="1"/>
      </w:tblPr>
      <w:tblGrid>
        <w:gridCol w:w="9057"/>
      </w:tblGrid>
      <w:tr w14:paraId="1A1A693E" w14:textId="77777777">
        <w:trPr>
          <w:trHeight w:val="300"/>
        </w:trPr>
        <w:tc>
          <w:tcPr>
            <w:tcW w:w="9057" w:type="dxa"/>
            <w:tcBorders>
              <w:top w:val="single" w:color="auto" w:sz="2" w:space="0"/>
              <w:left w:val="single" w:color="auto" w:sz="2" w:space="0"/>
              <w:bottom w:val="single" w:color="auto" w:sz="2" w:space="0"/>
              <w:right w:val="single" w:color="auto" w:sz="2" w:space="0"/>
            </w:tcBorders>
            <w:hideMark/>
          </w:tcPr>
          <w:p w14:paraId="646F3A3F" w14:textId="77777777">
            <w:pPr>
              <w:keepNext/>
              <w:keepLines/>
              <w:jc w:val="center"/>
              <w:rPr>
                <w:lang w:val="en-GB"/>
              </w:rPr>
            </w:pPr>
            <w:r>
              <w:rPr>
                <w:b/>
                <w:bCs/>
                <w:lang w:val="en-GB"/>
              </w:rPr>
              <w:t>Reason</w:t>
            </w:r>
          </w:p>
        </w:tc>
      </w:tr>
      <w:tr w14:paraId="0BB1C0A8" w14:textId="77777777">
        <w:trPr>
          <w:trHeight w:val="300"/>
        </w:trPr>
        <w:tc>
          <w:tcPr>
            <w:tcW w:w="9057" w:type="dxa"/>
            <w:tcBorders>
              <w:top w:val="single" w:color="auto" w:sz="2" w:space="0"/>
              <w:left w:val="single" w:color="auto" w:sz="6" w:space="0"/>
              <w:bottom w:val="single" w:color="auto" w:sz="6" w:space="0"/>
              <w:right w:val="single" w:color="auto" w:sz="6" w:space="0"/>
            </w:tcBorders>
            <w:hideMark/>
          </w:tcPr>
          <w:p w14:paraId="024427A6" w14:textId="77777777">
            <w:pPr>
              <w:ind w:left="28" w:right="28"/>
              <w:rPr>
                <w:lang w:val="en-GB"/>
              </w:rPr>
            </w:pPr>
            <w:r>
              <w:rPr>
                <w:lang w:val="en-GB"/>
              </w:rPr>
              <w:t>At 15 out of 120 points and itself only non-binding guidance, the EU added value criterion cannot meaningfully influence procurement outcomes at the scale needed to reverse market dependency on non-EU hyperscalers. Raising the weighting to 40 points keeps the criterion subordinate to price and technical merit, consistent with the requirement of Article 32(2)(d) that it remain ancillary, while giving it enough weight to actually shape award decisions.</w:t>
            </w:r>
          </w:p>
        </w:tc>
      </w:tr>
    </w:tbl>
    <w:p w14:paraId="3D38AD19" w14:textId="77777777">
      <w:pPr>
        <w:jc w:val="left"/>
        <w:rPr>
          <w:lang w:val="en-GB"/>
        </w:rPr>
      </w:pPr>
    </w:p>
    <w:p w14:paraId="42556E2A" w14:textId="77777777">
      <w:pPr>
        <w:pStyle w:val="Heading2"/>
        <w:keepNext/>
        <w:numPr>
          <w:ilvl w:val="0"/>
          <w:numId w:val="0"/>
        </w:numPr>
        <w:rPr>
          <w:b/>
          <w:bCs/>
          <w:lang w:val="en-GB"/>
        </w:rPr>
      </w:pPr>
      <w:r>
        <w:rPr>
          <w:b/>
          <w:bCs/>
          <w:lang w:val="en-GB"/>
        </w:rPr>
        <w:t>Amendment 4</w:t>
      </w:r>
    </w:p>
    <w:p w14:paraId="627026DC" w14:textId="77777777">
      <w:pPr>
        <w:keepNext/>
        <w:keepLines/>
        <w:jc w:val="left"/>
        <w:rPr>
          <w:lang w:val="en-GB"/>
        </w:rPr>
      </w:pPr>
      <w:r>
        <w:rPr>
          <w:lang w:val="en-GB"/>
        </w:rPr>
        <w:t>linked to recommendation 1.11 (Article 29(2))</w:t>
      </w:r>
    </w:p>
    <w:p w14:paraId="038FAB74" w14:textId="77777777">
      <w:pPr>
        <w:keepNext/>
        <w:jc w:val="left"/>
        <w:rPr>
          <w:lang w:val="en-GB"/>
        </w:rPr>
      </w:pPr>
    </w:p>
    <w:tbl>
      <w:tblPr>
        <w:tblW w:w="0" w:type="auto"/>
        <w:tblBorders>
          <w:top w:val="outset" w:color="auto" w:sz="6" w:space="0"/>
          <w:left w:val="outset" w:color="auto" w:sz="6" w:space="0"/>
          <w:bottom w:val="outset" w:color="auto" w:sz="6" w:space="0"/>
          <w:right w:val="outset" w:color="auto" w:sz="6" w:space="0"/>
        </w:tblBorders>
        <w:tblLayout w:type="fixed"/>
        <w:tblCellMar>
          <w:left w:w="85" w:type="dxa"/>
          <w:right w:w="85" w:type="dxa"/>
        </w:tblCellMar>
        <w:tblLook w:val="04A0" w:firstRow="1" w:lastRow="0" w:firstColumn="1" w:lastColumn="0" w:noHBand="0" w:noVBand="1"/>
      </w:tblPr>
      <w:tblGrid>
        <w:gridCol w:w="4529"/>
        <w:gridCol w:w="4528"/>
      </w:tblGrid>
      <w:tr w14:paraId="7105920A" w14:textId="77777777">
        <w:trPr>
          <w:trHeight w:val="300"/>
        </w:trPr>
        <w:tc>
          <w:tcPr>
            <w:tcW w:w="4529" w:type="dxa"/>
            <w:tcBorders>
              <w:top w:val="single" w:color="auto" w:sz="2" w:space="0"/>
              <w:left w:val="single" w:color="auto" w:sz="2" w:space="0"/>
              <w:bottom w:val="single" w:color="auto" w:sz="2" w:space="0"/>
              <w:right w:val="single" w:color="auto" w:sz="2" w:space="0"/>
            </w:tcBorders>
            <w:hideMark/>
          </w:tcPr>
          <w:p w14:paraId="39B13956" w14:textId="77777777">
            <w:pPr>
              <w:keepNext/>
              <w:jc w:val="center"/>
              <w:rPr>
                <w:b/>
                <w:bCs/>
                <w:lang w:val="en-GB"/>
              </w:rPr>
            </w:pPr>
            <w:r>
              <w:rPr>
                <w:b/>
                <w:bCs/>
                <w:lang w:val="en-GB"/>
              </w:rPr>
              <w:t>Text proposed by the European Commission</w:t>
            </w:r>
          </w:p>
        </w:tc>
        <w:tc>
          <w:tcPr>
            <w:tcW w:w="4528" w:type="dxa"/>
            <w:tcBorders>
              <w:top w:val="single" w:color="auto" w:sz="2" w:space="0"/>
              <w:left w:val="single" w:color="auto" w:sz="2" w:space="0"/>
              <w:bottom w:val="single" w:color="auto" w:sz="2" w:space="0"/>
              <w:right w:val="single" w:color="auto" w:sz="2" w:space="0"/>
            </w:tcBorders>
            <w:hideMark/>
          </w:tcPr>
          <w:p w14:paraId="5EF17AEC" w14:textId="77777777">
            <w:pPr>
              <w:keepNext/>
              <w:jc w:val="center"/>
              <w:rPr>
                <w:b/>
                <w:bCs/>
                <w:lang w:val="en-GB"/>
              </w:rPr>
            </w:pPr>
            <w:r>
              <w:rPr>
                <w:b/>
                <w:bCs/>
                <w:lang w:val="en-GB"/>
              </w:rPr>
              <w:t>EESC amendment</w:t>
            </w:r>
          </w:p>
        </w:tc>
      </w:tr>
      <w:tr w14:paraId="3099E0A1" w14:textId="77777777">
        <w:trPr>
          <w:trHeight w:val="300"/>
        </w:trPr>
        <w:tc>
          <w:tcPr>
            <w:tcW w:w="4529" w:type="dxa"/>
            <w:tcBorders>
              <w:top w:val="single" w:color="auto" w:sz="2" w:space="0"/>
              <w:left w:val="single" w:color="auto" w:sz="2" w:space="0"/>
              <w:bottom w:val="single" w:color="auto" w:sz="2" w:space="0"/>
              <w:right w:val="single" w:color="auto" w:sz="2" w:space="0"/>
            </w:tcBorders>
            <w:hideMark/>
          </w:tcPr>
          <w:p w14:paraId="7DC06F75" w14:textId="77777777">
            <w:pPr>
              <w:jc w:val="left"/>
              <w:rPr>
                <w:lang w:val="en-GB"/>
              </w:rPr>
            </w:pPr>
            <w:r>
              <w:rPr>
                <w:lang w:val="en-GB"/>
              </w:rPr>
              <w:t>In carrying out their risk assessments, Member States and Union entities shall consider at least the following aspects</w:t>
            </w:r>
          </w:p>
          <w:p w14:paraId="5A80D603" w14:textId="77777777">
            <w:pPr>
              <w:jc w:val="left"/>
              <w:rPr>
                <w:lang w:val="en-GB"/>
              </w:rPr>
            </w:pPr>
            <w:r>
              <w:rPr>
                <w:lang w:val="en-GB"/>
              </w:rPr>
              <w:t>[…]</w:t>
            </w:r>
          </w:p>
        </w:tc>
        <w:tc>
          <w:tcPr>
            <w:tcW w:w="4528" w:type="dxa"/>
            <w:tcBorders>
              <w:top w:val="single" w:color="auto" w:sz="2" w:space="0"/>
              <w:left w:val="single" w:color="auto" w:sz="2" w:space="0"/>
              <w:bottom w:val="single" w:color="auto" w:sz="2" w:space="0"/>
              <w:right w:val="single" w:color="auto" w:sz="2" w:space="0"/>
            </w:tcBorders>
            <w:hideMark/>
          </w:tcPr>
          <w:p w14:paraId="1B9F0A55" w14:textId="77777777">
            <w:pPr>
              <w:jc w:val="left"/>
              <w:rPr>
                <w:lang w:val="en-GB"/>
              </w:rPr>
            </w:pPr>
            <w:r>
              <w:rPr>
                <w:lang w:val="en-GB"/>
              </w:rPr>
              <w:t>In carrying out their risk assessments, Member States and Union entities shall consider at least the following aspects:</w:t>
            </w:r>
          </w:p>
          <w:p w14:paraId="3F5C1F2B" w14:textId="77777777">
            <w:pPr>
              <w:jc w:val="left"/>
              <w:rPr>
                <w:lang w:val="en-GB"/>
              </w:rPr>
            </w:pPr>
            <w:r>
              <w:rPr>
                <w:lang w:val="en-GB"/>
              </w:rPr>
              <w:t>[…]</w:t>
            </w:r>
          </w:p>
          <w:p w14:paraId="4C24889E" w14:textId="77777777">
            <w:pPr>
              <w:rPr>
                <w:b/>
                <w:bCs/>
                <w:i/>
                <w:iCs/>
                <w:lang w:val="en-GB"/>
              </w:rPr>
            </w:pPr>
            <w:r>
              <w:rPr>
                <w:b/>
                <w:bCs/>
                <w:i/>
                <w:iCs/>
                <w:lang w:val="en-GB"/>
              </w:rPr>
              <w:t>(d) the risk and consequent impact on public order of organisational dependency on the service, including whether the entity would retain the independent human capacity to perform, verify or restore the supported public sector activity in the event of loss, degradation or malfunction of the service.</w:t>
            </w:r>
          </w:p>
        </w:tc>
      </w:tr>
    </w:tbl>
    <w:p w14:paraId="1A4B420E" w14:textId="77777777">
      <w:pPr>
        <w:jc w:val="left"/>
        <w:rPr>
          <w:lang w:val="en-GB"/>
        </w:rPr>
      </w:pPr>
    </w:p>
    <w:tbl>
      <w:tblPr>
        <w:tblW w:w="0" w:type="auto"/>
        <w:tblBorders>
          <w:top w:val="outset" w:color="auto" w:sz="6" w:space="0"/>
          <w:left w:val="outset" w:color="auto" w:sz="6" w:space="0"/>
          <w:bottom w:val="outset" w:color="auto" w:sz="6" w:space="0"/>
          <w:right w:val="outset" w:color="auto" w:sz="6" w:space="0"/>
        </w:tblBorders>
        <w:tblLayout w:type="fixed"/>
        <w:tblCellMar>
          <w:left w:w="85" w:type="dxa"/>
          <w:right w:w="85" w:type="dxa"/>
        </w:tblCellMar>
        <w:tblLook w:val="04A0" w:firstRow="1" w:lastRow="0" w:firstColumn="1" w:lastColumn="0" w:noHBand="0" w:noVBand="1"/>
      </w:tblPr>
      <w:tblGrid>
        <w:gridCol w:w="9057"/>
      </w:tblGrid>
      <w:tr w14:paraId="143C7841" w14:textId="77777777">
        <w:trPr>
          <w:trHeight w:val="300"/>
        </w:trPr>
        <w:tc>
          <w:tcPr>
            <w:tcW w:w="9057" w:type="dxa"/>
            <w:tcBorders>
              <w:top w:val="single" w:color="auto" w:sz="2" w:space="0"/>
              <w:left w:val="single" w:color="auto" w:sz="2" w:space="0"/>
              <w:bottom w:val="single" w:color="auto" w:sz="2" w:space="0"/>
              <w:right w:val="single" w:color="auto" w:sz="2" w:space="0"/>
            </w:tcBorders>
            <w:hideMark/>
          </w:tcPr>
          <w:p w14:paraId="5431C417" w14:textId="77777777">
            <w:pPr>
              <w:keepNext/>
              <w:jc w:val="center"/>
              <w:rPr>
                <w:lang w:val="en-GB"/>
              </w:rPr>
            </w:pPr>
            <w:r>
              <w:rPr>
                <w:b/>
                <w:bCs/>
                <w:lang w:val="en-GB"/>
              </w:rPr>
              <w:t>Reason</w:t>
            </w:r>
          </w:p>
        </w:tc>
      </w:tr>
      <w:tr w14:paraId="5A2045B8" w14:textId="77777777">
        <w:trPr>
          <w:trHeight w:val="300"/>
        </w:trPr>
        <w:tc>
          <w:tcPr>
            <w:tcW w:w="9057" w:type="dxa"/>
            <w:tcBorders>
              <w:top w:val="single" w:color="auto" w:sz="2" w:space="0"/>
              <w:left w:val="single" w:color="auto" w:sz="6" w:space="0"/>
              <w:bottom w:val="single" w:color="auto" w:sz="6" w:space="0"/>
              <w:right w:val="single" w:color="auto" w:sz="6" w:space="0"/>
            </w:tcBorders>
            <w:hideMark/>
          </w:tcPr>
          <w:p w14:paraId="6EDE1D8B" w14:textId="77777777">
            <w:pPr>
              <w:ind w:left="28" w:right="28"/>
              <w:rPr>
                <w:lang w:val="en-GB"/>
              </w:rPr>
            </w:pPr>
            <w:r>
              <w:rPr>
                <w:sz w:val="21"/>
                <w:szCs w:val="21"/>
                <w:lang w:val="en-GB"/>
              </w:rPr>
              <w:t>Article 29 assesses the provider (jurisdictional control, data access, disruption) but not the institution: whether, after years of reliance, the public body could still perform or even meaningfully verify the function that the service supports. Safety-critical industries have long recognised this failure mode; in aviation it is known as automation surprise, where oversight fails precisely because the manual skill has atrophied. Without this criterion, the assurance framework certifies who controls the service while remaining silent on whether anyone retains the capacity to work without it. The criterion also gives concrete form to the requirement in Article 29(9) to consider a multi-vendor strategy.</w:t>
            </w:r>
          </w:p>
        </w:tc>
      </w:tr>
    </w:tbl>
    <w:p w14:paraId="231F9729" w14:textId="14D34061">
      <w:pPr>
        <w:jc w:val="center"/>
        <w:rPr>
          <w:lang w:val="en-GB"/>
        </w:rPr>
      </w:pPr>
    </w:p>
    <w:p w14:paraId="075983A6" w14:textId="77777777">
      <w:pPr>
        <w:spacing w:after="160" w:line="259" w:lineRule="auto"/>
        <w:jc w:val="left"/>
        <w:rPr>
          <w:lang w:val="en-GB"/>
        </w:rPr>
      </w:pPr>
      <w:r>
        <w:rPr>
          <w:lang w:val="en-GB"/>
        </w:rPr>
        <w:br w:type="page"/>
      </w:r>
    </w:p>
    <w:p w14:paraId="08508A38" w14:textId="77777777">
      <w:pPr>
        <w:jc w:val="center"/>
        <w:rPr>
          <w:lang w:val="en-GB"/>
        </w:rPr>
      </w:pPr>
    </w:p>
    <w:p w14:paraId="0DF6C847" w14:textId="005C0863">
      <w:pPr>
        <w:rPr>
          <w:lang w:val="en-GB"/>
        </w:rPr>
      </w:pPr>
      <w:r>
        <w:rPr>
          <w:lang w:val="en-GB"/>
        </w:rPr>
        <w:t xml:space="preserve">Brussels, </w:t>
      </w:r>
      <w:r>
        <w:rPr>
          <w:lang w:val="en-GB"/>
        </w:rPr>
        <w:t>23</w:t>
      </w:r>
      <w:r>
        <w:rPr>
          <w:lang w:val="en-GB"/>
        </w:rPr>
        <w:t xml:space="preserve"> September 2026.</w:t>
      </w:r>
    </w:p>
    <w:p w14:paraId="4F6E111A" w14:textId="77777777">
      <w:pPr>
        <w:rPr>
          <w:lang w:val="en-GB"/>
        </w:rPr>
      </w:pPr>
    </w:p>
    <w:p w14:paraId="4C92ECF5" w14:textId="77777777">
      <w:pPr>
        <w:rPr>
          <w:lang w:val="en-GB"/>
        </w:rPr>
      </w:pPr>
    </w:p>
    <w:p w14:paraId="3B995D07" w14:textId="3BCA174B">
      <w:pPr>
        <w:spacing w:line="286" w:lineRule="auto"/>
        <w:jc w:val="left"/>
        <w:rPr>
          <w:i/>
          <w:lang w:val="en-GB"/>
        </w:rPr>
      </w:pPr>
      <w:r>
        <w:rPr>
          <w:i/>
          <w:iCs/>
          <w:lang w:val="en-GB"/>
        </w:rPr>
        <w:t xml:space="preserve">The president of the </w:t>
      </w:r>
      <w:r>
        <w:rPr>
          <w:i/>
          <w:lang w:val="en-GB"/>
        </w:rPr>
        <w:t>European Economic and Social Committee</w:t>
      </w:r>
    </w:p>
    <w:p w14:paraId="0592B036" w14:textId="52EC7E13">
      <w:pPr>
        <w:rPr>
          <w:iCs/>
          <w:lang w:val="en-GB"/>
        </w:rPr>
      </w:pPr>
      <w:r>
        <w:rPr>
          <w:lang w:val="en-GB"/>
        </w:rPr>
        <w:t>Séamus BOLAND</w:t>
      </w:r>
    </w:p>
    <w:p w14:paraId="677EB2D9" w14:textId="77777777">
      <w:pPr>
        <w:rPr>
          <w:lang w:val="en-GB"/>
        </w:rPr>
      </w:pPr>
    </w:p>
    <w:p w14:paraId="02A0279F" w14:textId="77777777">
      <w:pPr>
        <w:jc w:val="center"/>
        <w:rPr>
          <w:lang w:val="en-GB"/>
        </w:rPr>
      </w:pPr>
      <w:r>
        <w:rPr>
          <w:lang w:val="en-GB"/>
        </w:rPr>
        <w:t>*</w:t>
      </w:r>
      <w:r>
        <w:rPr>
          <w:lang w:val="en-GB"/>
        </w:rPr>
        <w:br/>
      </w:r>
      <w:r>
        <w:rPr>
          <w:lang w:val="en-GB"/>
        </w:rPr>
        <w:br/>
        <w:t>*</w:t>
      </w:r>
      <w:r>
        <w:rPr>
          <w:lang w:val="en-GB"/>
        </w:rPr>
        <w:tab/>
        <w:t>*</w:t>
      </w:r>
    </w:p>
    <w:p w14:paraId="551CAABE" w14:textId="77777777">
      <w:pPr>
        <w:jc w:val="center"/>
        <w:rPr>
          <w:lang w:val="en-GB"/>
        </w:rPr>
      </w:pPr>
    </w:p>
    <w:p w14:paraId="47CF2CC4" w14:textId="77777777">
      <w:pPr>
        <w:jc w:val="center"/>
        <w:rPr>
          <w:lang w:val="en-GB"/>
        </w:rPr>
      </w:pPr>
    </w:p>
    <w:p w14:paraId="71F541B4" w14:textId="77777777">
      <w:pPr>
        <w:rPr>
          <w:lang w:val="en-GB"/>
        </w:rPr>
      </w:pPr>
      <w:r>
        <w:rPr>
          <w:b/>
          <w:lang w:val="en-GB"/>
        </w:rPr>
        <w:t>N.B.:</w:t>
      </w:r>
      <w:r>
        <w:rPr>
          <w:lang w:val="en-GB"/>
        </w:rPr>
        <w:t xml:space="preserve"> Appendix overleaf</w:t>
      </w:r>
    </w:p>
    <w:p w14:paraId="68E682CF" w14:textId="77777777">
      <w:pPr>
        <w:spacing w:line="240" w:lineRule="auto"/>
        <w:jc w:val="left"/>
        <w:rPr>
          <w:lang w:val="en-GB"/>
        </w:rPr>
      </w:pPr>
      <w:r>
        <w:rPr>
          <w:lang w:val="en-GB"/>
        </w:rPr>
        <w:br w:type="page"/>
      </w:r>
    </w:p>
    <w:p w14:paraId="6E35391B" w14:textId="7A208CA6">
      <w:pPr>
        <w:jc w:val="center"/>
        <w:rPr>
          <w:b/>
          <w:bCs/>
          <w:lang w:val="en-GB"/>
        </w:rPr>
      </w:pPr>
      <w:r>
        <w:rPr>
          <w:b/>
          <w:lang w:val="en-GB"/>
        </w:rPr>
        <w:t xml:space="preserve">APPENDIX to the OPINION </w:t>
      </w:r>
      <w:r>
        <w:rPr>
          <w:b/>
          <w:lang w:val="en-GB"/>
        </w:rPr>
        <w:br/>
      </w:r>
      <w:r>
        <w:rPr>
          <w:bCs/>
          <w:lang w:val="en-GB"/>
        </w:rPr>
        <w:t xml:space="preserve">of the </w:t>
      </w:r>
      <w:r>
        <w:rPr>
          <w:bCs/>
          <w:lang w:val="en-GB"/>
        </w:rPr>
        <w:br/>
      </w:r>
      <w:r>
        <w:rPr>
          <w:bCs/>
          <w:lang w:val="en-GB"/>
        </w:rPr>
        <w:t>European Economic and Social Committee</w:t>
      </w:r>
      <w:r>
        <w:rPr>
          <w:bCs/>
          <w:lang w:val="en-GB"/>
        </w:rPr>
        <w:br/>
      </w:r>
      <w:r>
        <w:rPr>
          <w:lang w:val="en-GB"/>
        </w:rPr>
        <w:br/>
      </w:r>
      <w:r>
        <w:rPr>
          <w:b/>
          <w:bCs/>
          <w:lang w:val="en-GB"/>
        </w:rPr>
        <w:t>LEGISLATIVE FOOTPRINT</w:t>
      </w:r>
    </w:p>
    <w:p w14:paraId="0ADCAEF5" w14:textId="77777777">
      <w:pPr>
        <w:jc w:val="center"/>
        <w:rPr>
          <w:b/>
          <w:bCs/>
          <w:lang w:val="en-GB"/>
        </w:rPr>
      </w:pPr>
    </w:p>
    <w:p w14:paraId="4F30A114" w14:textId="77777777">
      <w:pPr>
        <w:jc w:val="center"/>
        <w:rPr>
          <w:lang w:val="en-GB"/>
        </w:rPr>
      </w:pPr>
      <w:r>
        <w:rPr>
          <w:b/>
          <w:bCs/>
          <w:u w:val="single"/>
          <w:lang w:val="en-GB"/>
        </w:rPr>
        <w:t>LIST OF INTEREST REPRESENTATIVES FROM WHOM</w:t>
      </w:r>
      <w:r>
        <w:rPr>
          <w:b/>
          <w:bCs/>
          <w:u w:val="single"/>
          <w:lang w:val="en-GB"/>
        </w:rPr>
        <w:br/>
        <w:t>THE RAPPORTEUR RECEIVED INPUT</w:t>
      </w:r>
    </w:p>
    <w:p w14:paraId="17A05F53" w14:textId="77777777">
      <w:pPr>
        <w:jc w:val="center"/>
        <w:rPr>
          <w:i/>
          <w:iCs/>
          <w:lang w:val="en-GB"/>
        </w:rPr>
      </w:pPr>
    </w:p>
    <w:p w14:paraId="7E75AB92" w14:textId="77777777">
      <w:pPr>
        <w:rPr>
          <w:i/>
          <w:iCs/>
          <w:lang w:val="en-GB"/>
        </w:rPr>
      </w:pPr>
      <w:r>
        <w:rPr>
          <w:i/>
          <w:iCs/>
          <w:lang w:val="en-GB"/>
        </w:rPr>
        <w:t>The following list is drawn up on a purely voluntary basis under the exclusive responsibility of the rapporteur. The rapporteur has received input from the following interest representatives (organisations and/or self-employed individuals) in the preparation of the opinion INT/1126 on Cloud and AI Development Act:</w:t>
      </w:r>
    </w:p>
    <w:p w14:paraId="0343F7A1" w14:textId="77777777">
      <w:pPr>
        <w:rPr>
          <w:i/>
          <w:iCs/>
          <w:lang w:val="en-GB"/>
        </w:rPr>
      </w:pPr>
    </w:p>
    <w:tbl>
      <w:tblPr>
        <w:tblStyle w:val="TableGrid"/>
        <w:tblW w:w="0" w:type="auto"/>
        <w:tblLook w:val="04A0" w:firstRow="1" w:lastRow="0" w:firstColumn="1" w:lastColumn="0" w:noHBand="0" w:noVBand="1"/>
      </w:tblPr>
      <w:tblGrid>
        <w:gridCol w:w="9061"/>
      </w:tblGrid>
      <w:tr w14:paraId="7506F220" w14:textId="77777777">
        <w:tc>
          <w:tcPr>
            <w:tcW w:w="9061" w:type="dxa"/>
          </w:tcPr>
          <w:p w14:paraId="617F8B11" w14:textId="77777777">
            <w:pPr>
              <w:jc w:val="center"/>
              <w:rPr>
                <w:i/>
                <w:iCs/>
                <w:lang w:val="en-GB"/>
              </w:rPr>
            </w:pPr>
            <w:r>
              <w:rPr>
                <w:i/>
                <w:iCs/>
                <w:lang w:val="en-GB"/>
              </w:rPr>
              <w:t>Organisations and/or self-employed individuals</w:t>
            </w:r>
          </w:p>
        </w:tc>
      </w:tr>
      <w:tr w14:paraId="26E32C2E" w14:textId="77777777">
        <w:tc>
          <w:tcPr>
            <w:tcW w:w="9061" w:type="dxa"/>
          </w:tcPr>
          <w:p w14:paraId="2683BC7F" w14:textId="77777777">
            <w:pPr>
              <w:jc w:val="center"/>
              <w:rPr>
                <w:i/>
                <w:iCs/>
                <w:lang w:val="en-GB"/>
              </w:rPr>
            </w:pPr>
            <w:r>
              <w:rPr>
                <w:i/>
                <w:iCs/>
                <w:lang w:val="en-GB"/>
              </w:rPr>
              <w:t>Polish ICT Chamber (KIGEiT)</w:t>
            </w:r>
          </w:p>
        </w:tc>
      </w:tr>
      <w:tr w14:paraId="547B1CE3" w14:textId="77777777">
        <w:tc>
          <w:tcPr>
            <w:tcW w:w="9061" w:type="dxa"/>
          </w:tcPr>
          <w:p w14:paraId="626EECB1" w14:textId="77777777">
            <w:pPr>
              <w:jc w:val="center"/>
              <w:rPr>
                <w:i/>
                <w:iCs/>
                <w:lang w:val="en-GB"/>
              </w:rPr>
            </w:pPr>
            <w:r>
              <w:rPr>
                <w:i/>
                <w:iCs/>
                <w:lang w:val="en-GB"/>
              </w:rPr>
              <w:t>KU Leuven</w:t>
            </w:r>
          </w:p>
        </w:tc>
      </w:tr>
      <w:tr w14:paraId="0FE05C0D" w14:textId="77777777">
        <w:tc>
          <w:tcPr>
            <w:tcW w:w="9061" w:type="dxa"/>
          </w:tcPr>
          <w:p w14:paraId="12102176" w14:textId="77777777">
            <w:pPr>
              <w:jc w:val="center"/>
              <w:rPr>
                <w:i/>
                <w:iCs/>
                <w:lang w:val="en-GB"/>
              </w:rPr>
            </w:pPr>
            <w:r>
              <w:rPr>
                <w:i/>
                <w:iCs/>
                <w:lang w:val="en-GB"/>
              </w:rPr>
              <w:t>European University Institute</w:t>
            </w:r>
          </w:p>
        </w:tc>
      </w:tr>
      <w:tr w14:paraId="59F12DC7" w14:textId="77777777">
        <w:tc>
          <w:tcPr>
            <w:tcW w:w="9061" w:type="dxa"/>
          </w:tcPr>
          <w:p w14:paraId="2D380A55" w14:textId="77777777">
            <w:pPr>
              <w:jc w:val="center"/>
              <w:rPr>
                <w:i/>
                <w:iCs/>
                <w:lang w:val="en-GB"/>
              </w:rPr>
            </w:pPr>
            <w:r>
              <w:rPr>
                <w:i/>
                <w:iCs/>
                <w:lang w:val="en-GB"/>
              </w:rPr>
              <w:t>ESDN Youth Representative</w:t>
            </w:r>
          </w:p>
        </w:tc>
      </w:tr>
      <w:tr w14:paraId="1039894F" w14:textId="77777777">
        <w:tc>
          <w:tcPr>
            <w:tcW w:w="9061" w:type="dxa"/>
          </w:tcPr>
          <w:p w14:paraId="14760F66" w14:textId="77777777">
            <w:pPr>
              <w:jc w:val="center"/>
              <w:rPr>
                <w:i/>
                <w:iCs/>
                <w:lang w:val="en-GB"/>
              </w:rPr>
            </w:pPr>
            <w:r>
              <w:rPr>
                <w:i/>
                <w:iCs/>
                <w:lang w:val="en-GB"/>
              </w:rPr>
              <w:t>Office of the Government Plenipotentiary of the Slovak Republic for Artificial Intelligence</w:t>
            </w:r>
          </w:p>
        </w:tc>
      </w:tr>
    </w:tbl>
    <w:p w14:paraId="621E2FE0" w14:textId="77777777">
      <w:pPr>
        <w:ind w:left="142" w:hanging="142"/>
        <w:jc w:val="left"/>
        <w:rPr>
          <w:lang w:val="en-GB"/>
        </w:rPr>
      </w:pPr>
    </w:p>
    <w:p w14:paraId="1F9CAC7B" w14:textId="0FDD7D54">
      <w:pPr>
        <w:rPr>
          <w:i/>
          <w:iCs/>
          <w:lang w:val="en-GB"/>
        </w:rPr>
      </w:pPr>
      <w:r>
        <w:rPr>
          <w:sz w:val="24"/>
          <w:szCs w:val="24"/>
          <w:lang w:val="en-GB" w:eastAsia="fr-BE"/>
        </w:rPr>
        <w:t xml:space="preserve"> </w:t>
      </w:r>
    </w:p>
    <w:p w14:paraId="6BABC1C7" w14:textId="77777777">
      <w:pPr>
        <w:jc w:val="center"/>
        <w:rPr>
          <w:lang w:val="en-GB"/>
        </w:rPr>
      </w:pPr>
      <w:r>
        <w:rPr>
          <w:lang w:val="en-GB"/>
        </w:rPr>
        <w:t>_____________</w:t>
      </w:r>
    </w:p>
    <w:sectPr>
      <w:headerReference w:type="even" r:id="rId28"/>
      <w:headerReference w:type="default" r:id="rId29"/>
      <w:footerReference w:type="default" r:id="rId30"/>
      <w:headerReference w:type="first" r:id="rId31"/>
      <w:pgSz w:w="11907" w:h="16839" w:code="9"/>
      <w:pgMar w:top="1418" w:right="1418" w:bottom="1418" w:left="1418" w:header="851"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430776" w14:textId="77777777">
      <w:pPr>
        <w:spacing w:line="240" w:lineRule="auto"/>
      </w:pPr>
      <w:r>
        <w:separator/>
      </w:r>
    </w:p>
  </w:endnote>
  <w:endnote w:type="continuationSeparator" w:id="0">
    <w:p w14:paraId="36ECB96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8BA6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ACDCE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55CBB0"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2FD4BD"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90F950" w14:textId="729EB7AA">
    <w:pPr>
      <w:jc w:val="left"/>
      <w:rPr>
        <w:lang w:val="fr-BE"/>
      </w:rPr>
    </w:pPr>
    <w:r>
      <w:t xml:space="preserve">INT/1126 – EESC-2026-01043-00-00-AC-TRA (EN) </w:t>
    </w:r>
    <w:r>
      <w:fldChar w:fldCharType="begin"/>
    </w:r>
    <w:r>
      <w:instrText xml:space="preserve"> PAGE  \* Arabic  \* MERGEFORMAT </w:instrText>
    </w:r>
    <w:r>
      <w:fldChar w:fldCharType="separate"/>
    </w:r>
    <w:r>
      <w:rPr>
        <w:noProof/>
      </w:rPr>
      <w:t>9</w:t>
    </w:r>
    <w:r>
      <w:fldChar w:fldCharType="end"/>
    </w:r>
    <w:r>
      <w:t>/</w:t>
    </w:r>
    <w:r>
      <w:fldChar w:fldCharType="begin"/>
    </w:r>
    <w:r>
      <w:instrText xml:space="preserve"> = </w:instrText>
    </w:r>
    <w:r>
      <w:fldChar w:fldCharType="begin"/>
    </w:r>
    <w:r>
      <w:instrText xml:space="preserve"> NUMPAGES </w:instrText>
    </w:r>
    <w:r>
      <w:fldChar w:fldCharType="separate"/>
    </w:r>
    <w:r>
      <w:rPr>
        <w:noProof/>
      </w:rPr>
      <w:instrText>11</w:instrText>
    </w:r>
    <w:r>
      <w:rPr>
        <w:noProof/>
      </w:rPr>
      <w:fldChar w:fldCharType="end"/>
    </w:r>
    <w:r>
      <w:instrText xml:space="preserve"> - 2 </w:instrText>
    </w:r>
    <w:r>
      <w:fldChar w:fldCharType="separate"/>
    </w:r>
    <w:r>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C75138" w14:textId="77777777">
      <w:pPr>
        <w:spacing w:line="240" w:lineRule="auto"/>
      </w:pPr>
      <w:r>
        <w:separator/>
      </w:r>
    </w:p>
  </w:footnote>
  <w:footnote w:type="continuationSeparator" w:id="0">
    <w:p w14:paraId="53117E55" w14:textId="77777777">
      <w:pPr>
        <w:spacing w:line="240" w:lineRule="auto"/>
      </w:pPr>
      <w:r>
        <w:continuationSeparator/>
      </w:r>
    </w:p>
  </w:footnote>
  <w:footnote w:id="1">
    <w:p w14:paraId="0A555998" w14:textId="77777777">
      <w:pPr>
        <w:pStyle w:val="FootnoteText"/>
      </w:pPr>
      <w:r>
        <w:rPr>
          <w:rStyle w:val="FootnoteReference"/>
        </w:rPr>
        <w:footnoteRef/>
      </w:r>
      <w:r>
        <w:tab/>
      </w:r>
      <w:r>
        <w:t>The EESC has consistently maintained that technological transitions of this scale should be accompanied by structured social dialogue</w:t>
      </w:r>
      <w:r>
        <w:t xml:space="preserve">. </w:t>
      </w:r>
      <w:r>
        <w:t xml:space="preserve">See EESC opinion on </w:t>
      </w:r>
      <w:r>
        <w:t>OJ C, C/2026/1960, 28.4.2026, ELI: </w:t>
      </w:r>
      <w:hyperlink r:id="rId1" w:tgtFrame="_blank" w:tooltip="Gives access to this document through its ELI URI." w:history="1">
        <w:r>
          <w:rPr>
            <w:rStyle w:val="Hyperlink"/>
          </w:rPr>
          <w:t>http://data.europa.eu/eli/C/2026/1960/oj</w:t>
        </w:r>
      </w:hyperlink>
      <w:r>
        <w:t xml:space="preserve">, which calls on the Commission to ensure AI governance </w:t>
      </w:r>
      <w:r>
        <w:t>‘</w:t>
      </w:r>
      <w:r>
        <w:t>formally and systematically involves the social partners, civil society and SME representatives</w:t>
      </w:r>
      <w:r>
        <w:t>’</w:t>
      </w:r>
      <w:r>
        <w:t>; see also the EESC</w:t>
      </w:r>
      <w:r>
        <w:t>’</w:t>
      </w:r>
      <w:r>
        <w:t>s opinion on the Cybersecurity Act 2 (</w:t>
      </w:r>
      <w:r>
        <w:t>OJ C, C/2026/354</w:t>
      </w:r>
      <w:r>
        <w:t>g</w:t>
      </w:r>
      <w:r>
        <w:t>9, 22.7.2026, ELI: </w:t>
      </w:r>
      <w:hyperlink r:id="rId2" w:tgtFrame="_blank" w:tooltip="Gives access to this document through its ELI URI." w:history="1">
        <w:r>
          <w:rPr>
            <w:rStyle w:val="Hyperlink"/>
          </w:rPr>
          <w:t>http://data.europa.eu/eli/C/2026/3549/oj</w:t>
        </w:r>
      </w:hyperlink>
      <w:r>
        <w:t xml:space="preserve">), which states that consultation with social partners </w:t>
      </w:r>
      <w:r>
        <w:t>‘</w:t>
      </w:r>
      <w:r>
        <w:t>should constitute a structural element... rather than being treated merely as an optional good practice.</w:t>
      </w:r>
      <w:r>
        <w:t>’</w:t>
      </w:r>
    </w:p>
  </w:footnote>
  <w:footnote w:id="2">
    <w:p w14:paraId="075AD10C" w14:textId="77777777">
      <w:pPr>
        <w:pStyle w:val="FootnoteText"/>
      </w:pPr>
      <w:r>
        <w:rPr>
          <w:rStyle w:val="FootnoteReference"/>
        </w:rPr>
        <w:footnoteRef/>
      </w:r>
      <w:r>
        <w:tab/>
        <w:t xml:space="preserve">See the </w:t>
      </w:r>
      <w:r>
        <w:t>EESC</w:t>
      </w:r>
      <w:r>
        <w:t>’s</w:t>
      </w:r>
      <w:r>
        <w:t xml:space="preserve"> opinion on the Interoperable Europe Act (</w:t>
      </w:r>
      <w:hyperlink r:id="rId3" w:history="1">
        <w:r>
          <w:rPr>
            <w:rStyle w:val="Hyperlink"/>
          </w:rPr>
          <w:t>OJ C 184, 25.5.2023, p. 28</w:t>
        </w:r>
      </w:hyperlink>
      <w:r>
        <w:t xml:space="preserve">), noting that </w:t>
      </w:r>
      <w:r>
        <w:t>‘</w:t>
      </w:r>
      <w:r>
        <w:t>some technological solutions for digitalisation could be highly energy-intensive.</w:t>
      </w:r>
      <w:r>
        <w:t>’</w:t>
      </w:r>
    </w:p>
  </w:footnote>
  <w:footnote w:id="3">
    <w:p w14:paraId="42126F02" w14:textId="77777777">
      <w:pPr>
        <w:pStyle w:val="FootnoteText"/>
      </w:pPr>
      <w:r>
        <w:rPr>
          <w:rStyle w:val="FootnoteReference"/>
        </w:rPr>
        <w:footnoteRef/>
      </w:r>
      <w:r>
        <w:t xml:space="preserve"> </w:t>
      </w:r>
      <w:r>
        <w:tab/>
      </w:r>
      <w:r>
        <w:t>International Energy Agency</w:t>
      </w:r>
      <w:r>
        <w:t>,</w:t>
      </w:r>
      <w:r>
        <w:t xml:space="preserve"> Overcoming energy constraints is key to delivering on Europe</w:t>
      </w:r>
      <w:r>
        <w:t>’</w:t>
      </w:r>
      <w:r>
        <w:t>s data centre goals (2026</w:t>
      </w:r>
      <w:r>
        <w:t>)</w:t>
      </w:r>
      <w:r>
        <w:t>.</w:t>
      </w:r>
    </w:p>
  </w:footnote>
  <w:footnote w:id="4">
    <w:p w14:paraId="58397BAA" w14:textId="77777777">
      <w:pPr>
        <w:pStyle w:val="FootnoteText"/>
      </w:pPr>
      <w:r>
        <w:rPr>
          <w:rStyle w:val="FootnoteReference"/>
        </w:rPr>
        <w:footnoteRef/>
      </w:r>
      <w:r>
        <w:tab/>
      </w:r>
      <w:r>
        <w:t>This recommendation builds on the EESC</w:t>
      </w:r>
      <w:r>
        <w:t>’</w:t>
      </w:r>
      <w:r>
        <w:t>s long-standing position: in its 2016 opinion on the European Cloud Initiative (</w:t>
      </w:r>
      <w:hyperlink r:id="rId4" w:history="1">
        <w:r>
          <w:rPr>
            <w:rStyle w:val="Hyperlink"/>
          </w:rPr>
          <w:t>OJ C 487, 28.12.2016, p. 86</w:t>
        </w:r>
      </w:hyperlink>
      <w:r>
        <w:t xml:space="preserve">), the Committee already recommended that </w:t>
      </w:r>
      <w:r>
        <w:t>‘</w:t>
      </w:r>
      <w:r>
        <w:t>the hardware and software needed for the European cloud be acquired in Europe.</w:t>
      </w:r>
      <w:r>
        <w:t>’</w:t>
      </w:r>
    </w:p>
  </w:footnote>
  <w:footnote w:id="5">
    <w:p w14:paraId="3049FDBA" w14:textId="77777777">
      <w:pPr>
        <w:pStyle w:val="FootnoteText"/>
      </w:pPr>
      <w:r>
        <w:rPr>
          <w:rStyle w:val="FootnoteReference"/>
        </w:rPr>
        <w:footnoteRef/>
      </w:r>
      <w:r>
        <w:tab/>
        <w:t xml:space="preserve">See the </w:t>
      </w:r>
      <w:r>
        <w:t>EESC</w:t>
      </w:r>
      <w:r>
        <w:t>’s</w:t>
      </w:r>
      <w:r>
        <w:t xml:space="preserve"> opinion on Apply AI Strategy (</w:t>
      </w:r>
      <w:r>
        <w:t>OJ C, C/2026/1960, 28.4.2026, ELI: </w:t>
      </w:r>
      <w:hyperlink r:id="rId5" w:tgtFrame="_blank" w:tooltip="Gives access to this document through its ELI URI." w:history="1">
        <w:r>
          <w:rPr>
            <w:rStyle w:val="Hyperlink"/>
          </w:rPr>
          <w:t>http://data.europa.eu/eli/C/2026/1960/oj</w:t>
        </w:r>
      </w:hyperlink>
      <w:r>
        <w:t xml:space="preserve">), calling for </w:t>
      </w:r>
      <w:r>
        <w:t>‘</w:t>
      </w:r>
      <w:r>
        <w:t xml:space="preserve">concrete, rapidly deployable measures to speed up the </w:t>
      </w:r>
      <w:r>
        <w:rPr>
          <w:lang w:val="en-GB"/>
        </w:rPr>
        <w:t>commercialisation</w:t>
      </w:r>
      <w:r>
        <w:t xml:space="preserve"> and market uptake of AI solutions</w:t>
      </w:r>
      <w:r>
        <w:t> – </w:t>
      </w:r>
      <w:r>
        <w:t>especially for SMEs and scale-ups</w:t>
      </w:r>
      <w:r>
        <w:t> – </w:t>
      </w:r>
      <w:r>
        <w:t>through simpler access to funding [and] less administrative burden.</w:t>
      </w:r>
      <w:r>
        <w:t>’</w:t>
      </w:r>
    </w:p>
  </w:footnote>
  <w:footnote w:id="6">
    <w:p w14:paraId="2197A1AA" w14:textId="77777777">
      <w:pPr>
        <w:pStyle w:val="FootnoteText"/>
      </w:pPr>
      <w:r>
        <w:rPr>
          <w:rStyle w:val="FootnoteReference"/>
        </w:rPr>
        <w:footnoteRef/>
      </w:r>
      <w:r>
        <w:tab/>
      </w:r>
      <w:r>
        <w:t>See the EESC</w:t>
      </w:r>
      <w:r>
        <w:t>’</w:t>
      </w:r>
      <w:r>
        <w:t>s 2016 opinion on the European Cloud Initiative (</w:t>
      </w:r>
      <w:hyperlink r:id="rId6" w:history="1">
        <w:r>
          <w:rPr>
            <w:rStyle w:val="Hyperlink"/>
          </w:rPr>
          <w:t>OJ C 487, 28.12.2016, p. 86</w:t>
        </w:r>
      </w:hyperlink>
      <w:r>
        <w:t xml:space="preserve">), calling for </w:t>
      </w:r>
      <w:r>
        <w:t>‘</w:t>
      </w:r>
      <w:r>
        <w:t>a major programme to develop and promote new, highly-qualified occupations</w:t>
      </w:r>
      <w:r>
        <w:t xml:space="preserve">’, as well as </w:t>
      </w:r>
      <w:r>
        <w:t>its opinion on the Interoperable Europe Act (</w:t>
      </w:r>
      <w:hyperlink r:id="rId7" w:history="1">
        <w:r>
          <w:rPr>
            <w:rStyle w:val="Hyperlink"/>
          </w:rPr>
          <w:t>OJ C 184, 25.5.2023, p. 28</w:t>
        </w:r>
      </w:hyperlink>
      <w:r>
        <w:t xml:space="preserve">), stressing that </w:t>
      </w:r>
      <w:r>
        <w:t>‘</w:t>
      </w:r>
      <w:r>
        <w:t>adequate staffing is a prerequisite for a successful digital transformation.</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54A669" w14:textId="252CAFAF">
    <w:pPr>
      <w:pStyle w:val="Header"/>
    </w:pPr>
    <w:r>
      <w:rPr>
        <w:noProof/>
      </w:rPr>
      <w:pict w14:anchorId="3E5C97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04016" o:spid="_x0000_s1036" type="#_x0000_t75" style="position:absolute;left:0;text-align:left;margin-left:0;margin-top:0;width:595.2pt;height:841.9pt;z-index:-251649024;mso-position-horizontal:center;mso-position-horizontal-relative:margin;mso-position-vertical:center;mso-position-vertical-relative:margin" o:allowincell="f">
          <v:imagedata r:id="rId1" o:title="footer onl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C95081" w14:textId="013FAB14">
    <w:pPr>
      <w:pStyle w:val="Header"/>
    </w:pPr>
    <w:r>
      <w:rPr>
        <w:noProof/>
      </w:rPr>
      <w:pict w14:anchorId="0292D8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04017" o:spid="_x0000_s1037" type="#_x0000_t75" style="position:absolute;left:0;text-align:left;margin-left:0;margin-top:0;width:595.2pt;height:841.9pt;z-index:-251648000;mso-position-horizontal:center;mso-position-horizontal-relative:page;mso-position-vertical:top;mso-position-vertical-relative:page" o:allowincell="f">
          <v:imagedata r:id="rId1" o:title="footer only"/>
          <w10:wrap anchorx="page" anchory="page"/>
        </v:shape>
      </w:pict>
    </w:r>
    <w:r>
      <w:rPr>
        <w:noProof/>
      </w:rPr>
      <w:drawing>
        <wp:anchor distT="0" distB="0" distL="114300" distR="114300" simplePos="0" relativeHeight="251664896" behindDoc="0" locked="0" layoutInCell="1" allowOverlap="1" wp14:anchorId="32A48528" wp14:editId="3BEFD26D">
          <wp:simplePos x="898497" y="453224"/>
          <wp:positionH relativeFrom="page">
            <wp:align>center</wp:align>
          </wp:positionH>
          <wp:positionV relativeFrom="page">
            <wp:posOffset>288290</wp:posOffset>
          </wp:positionV>
          <wp:extent cx="6944398" cy="3344276"/>
          <wp:effectExtent l="0" t="0" r="0" b="8890"/>
          <wp:wrapNone/>
          <wp:docPr id="9" name="Picture 9" title="EESCLogo2021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title="EESCLogo2021_EN"/>
                  <pic:cNvPicPr/>
                </pic:nvPicPr>
                <pic:blipFill>
                  <a:blip r:embed="rId2">
                    <a:extLst>
                      <a:ext uri="{28A0092B-C50C-407E-A947-70E740481C1C}">
                        <a14:useLocalDpi xmlns:a14="http://schemas.microsoft.com/office/drawing/2010/main" val="0"/>
                      </a:ext>
                    </a:extLst>
                  </a:blip>
                  <a:stretch>
                    <a:fillRect/>
                  </a:stretch>
                </pic:blipFill>
                <pic:spPr>
                  <a:xfrm>
                    <a:off x="0" y="0"/>
                    <a:ext cx="6944398" cy="334427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5837F" w14:textId="007EBCA1">
    <w:pPr>
      <w:pStyle w:val="Header"/>
    </w:pPr>
    <w:r>
      <w:rPr>
        <w:noProof/>
      </w:rPr>
      <w:pict w14:anchorId="191712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04015" o:spid="_x0000_s1035" type="#_x0000_t75" style="position:absolute;left:0;text-align:left;margin-left:0;margin-top:0;width:595.2pt;height:841.9pt;z-index:-251650048;mso-position-horizontal:center;mso-position-horizontal-relative:margin;mso-position-vertical:center;mso-position-vertical-relative:margin" o:allowincell="f">
          <v:imagedata r:id="rId1" o:title="footer only"/>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BB9C34" w14:textId="7FEF32E3">
    <w:pPr>
      <w:pStyle w:val="Header"/>
    </w:pPr>
    <w:r>
      <w:rPr>
        <w:noProof/>
      </w:rPr>
      <w:pict w14:anchorId="16802F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04019" o:spid="_x0000_s1039" type="#_x0000_t75" style="position:absolute;left:0;text-align:left;margin-left:0;margin-top:0;width:595.2pt;height:841.9pt;z-index:-251645952;mso-position-horizontal:center;mso-position-horizontal-relative:margin;mso-position-vertical:center;mso-position-vertical-relative:margin" o:allowincell="f">
          <v:imagedata r:id="rId1" o:title="footer only"/>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39FC7C" w14:textId="308D261F">
    <w:pPr>
      <w:pStyle w:val="Header"/>
    </w:pPr>
    <w:r>
      <w:rPr>
        <w:noProof/>
      </w:rPr>
      <w:pict w14:anchorId="31FC4A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04020" o:spid="_x0000_s1040" type="#_x0000_t75" style="position:absolute;left:0;text-align:left;margin-left:0;margin-top:0;width:595.2pt;height:841.9pt;z-index:-251644928;visibility:hidden;mso-position-horizontal:center;mso-position-horizontal-relative:margin;mso-position-vertical:center;mso-position-vertical-relative:margin" o:allowincell="f">
          <v:imagedata r:id="rId1" o:title="footer only"/>
          <w10:wrap anchorx="margin" anchory="margin"/>
        </v:shape>
      </w:pict>
    </w:r>
    <w:r>
      <w:rPr>
        <w:noProof/>
      </w:rPr>
      <w:drawing>
        <wp:anchor distT="0" distB="0" distL="114300" distR="114300" simplePos="0" relativeHeight="251668992" behindDoc="1" locked="0" layoutInCell="1" allowOverlap="1" wp14:anchorId="5FA9E479" wp14:editId="13AEE0F5">
          <wp:simplePos x="0" y="0"/>
          <wp:positionH relativeFrom="page">
            <wp:posOffset>-10571</wp:posOffset>
          </wp:positionH>
          <wp:positionV relativeFrom="page">
            <wp:posOffset>-221993</wp:posOffset>
          </wp:positionV>
          <wp:extent cx="7581265" cy="10898802"/>
          <wp:effectExtent l="0" t="0" r="63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ckground (footer) recto.png"/>
                  <pic:cNvPicPr/>
                </pic:nvPicPr>
                <pic:blipFill>
                  <a:blip r:embed="rId2">
                    <a:extLst>
                      <a:ext uri="{28A0092B-C50C-407E-A947-70E740481C1C}">
                        <a14:useLocalDpi xmlns:a14="http://schemas.microsoft.com/office/drawing/2010/main" val="0"/>
                      </a:ext>
                    </a:extLst>
                  </a:blip>
                  <a:stretch>
                    <a:fillRect/>
                  </a:stretch>
                </pic:blipFill>
                <pic:spPr>
                  <a:xfrm>
                    <a:off x="0" y="0"/>
                    <a:ext cx="7585107" cy="10904325"/>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F67873" w14:textId="56798CB4">
    <w:pPr>
      <w:pStyle w:val="Header"/>
    </w:pPr>
    <w:r>
      <w:rPr>
        <w:noProof/>
      </w:rPr>
      <w:pict w14:anchorId="1017B5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04018" o:spid="_x0000_s1038" type="#_x0000_t75" style="position:absolute;left:0;text-align:left;margin-left:0;margin-top:0;width:595.2pt;height:841.9pt;z-index:-251646976;mso-position-horizontal:center;mso-position-horizontal-relative:margin;mso-position-vertical:center;mso-position-vertical-relative:margin" o:allowincell="f">
          <v:imagedata r:id="rId1" o:title="footer only"/>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2FFAD5" w14:textId="60B66FCE">
    <w:pPr>
      <w:pStyle w:val="Header"/>
    </w:pPr>
    <w:r>
      <w:rPr>
        <w:noProof/>
      </w:rPr>
      <w:pict w14:anchorId="51EC15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04022" o:spid="_x0000_s1042" type="#_x0000_t75" style="position:absolute;left:0;text-align:left;margin-left:0;margin-top:0;width:595.2pt;height:841.9pt;z-index:-251642880;mso-position-horizontal:center;mso-position-horizontal-relative:margin;mso-position-vertical:center;mso-position-vertical-relative:margin" o:allowincell="f">
          <v:imagedata r:id="rId1" o:title="footer only"/>
          <w10:wrap anchorx="margin" anchory="margin"/>
        </v:shape>
      </w:pict>
    </w:r>
  </w:p>
  <w:p w14:paraId="4C43E471" w14:textId="77777777"/>
  <w:p w14:paraId="5CC86834" w14:textId="77777777"/>
  <w:p w14:paraId="4EE5B116" w14:textId="77777777"/>
  <w:p w14:paraId="260A8DA1" w14:textId="77777777"/>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7993FD" w14:textId="778AE7B2">
    <w:r>
      <w:rPr>
        <w:noProof/>
      </w:rPr>
      <w:pict w14:anchorId="7B5F8F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04023" o:spid="_x0000_s1043" type="#_x0000_t75" style="position:absolute;left:0;text-align:left;margin-left:0;margin-top:0;width:595.2pt;height:841.9pt;z-index:-251641856;visibility:hidden;mso-position-horizontal:center;mso-position-horizontal-relative:margin;mso-position-vertical:center;mso-position-vertical-relative:margin" o:allowincell="f">
          <v:imagedata r:id="rId1" o:title="footer only"/>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FEDF91" w14:textId="4DD3A706">
    <w:pPr>
      <w:pStyle w:val="Header"/>
    </w:pPr>
    <w:r>
      <w:rPr>
        <w:noProof/>
      </w:rPr>
      <w:pict w14:anchorId="4BBB7A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04021" o:spid="_x0000_s1041" type="#_x0000_t75" style="position:absolute;left:0;text-align:left;margin-left:0;margin-top:0;width:595.2pt;height:841.9pt;z-index:-251643904;mso-position-horizontal:center;mso-position-horizontal-relative:margin;mso-position-vertical:center;mso-position-vertical-relative:margin" o:allowincell="f">
          <v:imagedata r:id="rId1" o:title="footer onl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A6FA5826"/>
    <w:lvl w:ilvl="0">
      <w:start w:val="1"/>
      <w:numFmt w:val="decimal"/>
      <w:pStyle w:val="Heading1"/>
      <w:lvlText w:val="%1."/>
      <w:legacy w:legacy="1" w:legacySpace="0" w:legacyIndent="0"/>
      <w:lvlJc w:val="left"/>
      <w:rPr>
        <w:b w:val="0"/>
      </w:rPr>
    </w:lvl>
    <w:lvl w:ilvl="1">
      <w:start w:val="1"/>
      <w:numFmt w:val="decimal"/>
      <w:pStyle w:val="Heading2"/>
      <w:lvlText w:val="%1.%2"/>
      <w:legacy w:legacy="1" w:legacySpace="144" w:legacyIndent="0"/>
      <w:lvlJc w:val="left"/>
      <w:rPr>
        <w:strike w:val="0"/>
      </w:rPr>
    </w:lvl>
    <w:lvl w:ilvl="2">
      <w:start w:val="1"/>
      <w:numFmt w:val="decimal"/>
      <w:pStyle w:val="Heading3"/>
      <w:lvlText w:val="%1.%2.%3"/>
      <w:legacy w:legacy="1" w:legacySpace="144" w:legacyIndent="0"/>
      <w:lvlJc w:val="left"/>
      <w:rPr>
        <w:b w:val="0"/>
        <w:bCs w:val="0"/>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C82E09"/>
    <w:multiLevelType w:val="hybridMultilevel"/>
    <w:tmpl w:val="19D67F7A"/>
    <w:lvl w:ilvl="0" w:tplc="080C000F">
      <w:start w:val="1"/>
      <w:numFmt w:val="decimal"/>
      <w:lvlText w:val="%1."/>
      <w:lvlJc w:val="left"/>
      <w:pPr>
        <w:ind w:left="440" w:hanging="360"/>
      </w:pPr>
    </w:lvl>
    <w:lvl w:ilvl="1" w:tplc="080C0019" w:tentative="1">
      <w:start w:val="1"/>
      <w:numFmt w:val="lowerLetter"/>
      <w:lvlText w:val="%2."/>
      <w:lvlJc w:val="left"/>
      <w:pPr>
        <w:ind w:left="1160" w:hanging="360"/>
      </w:pPr>
    </w:lvl>
    <w:lvl w:ilvl="2" w:tplc="080C001B" w:tentative="1">
      <w:start w:val="1"/>
      <w:numFmt w:val="lowerRoman"/>
      <w:lvlText w:val="%3."/>
      <w:lvlJc w:val="right"/>
      <w:pPr>
        <w:ind w:left="1880" w:hanging="180"/>
      </w:pPr>
    </w:lvl>
    <w:lvl w:ilvl="3" w:tplc="080C000F" w:tentative="1">
      <w:start w:val="1"/>
      <w:numFmt w:val="decimal"/>
      <w:lvlText w:val="%4."/>
      <w:lvlJc w:val="left"/>
      <w:pPr>
        <w:ind w:left="2600" w:hanging="360"/>
      </w:pPr>
    </w:lvl>
    <w:lvl w:ilvl="4" w:tplc="080C0019" w:tentative="1">
      <w:start w:val="1"/>
      <w:numFmt w:val="lowerLetter"/>
      <w:lvlText w:val="%5."/>
      <w:lvlJc w:val="left"/>
      <w:pPr>
        <w:ind w:left="3320" w:hanging="360"/>
      </w:pPr>
    </w:lvl>
    <w:lvl w:ilvl="5" w:tplc="080C001B" w:tentative="1">
      <w:start w:val="1"/>
      <w:numFmt w:val="lowerRoman"/>
      <w:lvlText w:val="%6."/>
      <w:lvlJc w:val="right"/>
      <w:pPr>
        <w:ind w:left="4040" w:hanging="180"/>
      </w:pPr>
    </w:lvl>
    <w:lvl w:ilvl="6" w:tplc="080C000F" w:tentative="1">
      <w:start w:val="1"/>
      <w:numFmt w:val="decimal"/>
      <w:lvlText w:val="%7."/>
      <w:lvlJc w:val="left"/>
      <w:pPr>
        <w:ind w:left="4760" w:hanging="360"/>
      </w:pPr>
    </w:lvl>
    <w:lvl w:ilvl="7" w:tplc="080C0019" w:tentative="1">
      <w:start w:val="1"/>
      <w:numFmt w:val="lowerLetter"/>
      <w:lvlText w:val="%8."/>
      <w:lvlJc w:val="left"/>
      <w:pPr>
        <w:ind w:left="5480" w:hanging="360"/>
      </w:pPr>
    </w:lvl>
    <w:lvl w:ilvl="8" w:tplc="080C001B" w:tentative="1">
      <w:start w:val="1"/>
      <w:numFmt w:val="lowerRoman"/>
      <w:lvlText w:val="%9."/>
      <w:lvlJc w:val="right"/>
      <w:pPr>
        <w:ind w:left="6200" w:hanging="180"/>
      </w:pPr>
    </w:lvl>
  </w:abstractNum>
  <w:abstractNum w:abstractNumId="2" w15:restartNumberingAfterBreak="0">
    <w:nsid w:val="11550D3F"/>
    <w:multiLevelType w:val="hybridMultilevel"/>
    <w:tmpl w:val="B0F40A5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3" w15:restartNumberingAfterBreak="0">
    <w:nsid w:val="18123201"/>
    <w:multiLevelType w:val="hybridMultilevel"/>
    <w:tmpl w:val="F0688C48"/>
    <w:lvl w:ilvl="0" w:tplc="080C0019">
      <w:start w:val="1"/>
      <w:numFmt w:val="lowerLetter"/>
      <w:lvlText w:val="%1."/>
      <w:lvlJc w:val="left"/>
      <w:pPr>
        <w:ind w:left="720" w:hanging="360"/>
      </w:pPr>
    </w:lvl>
    <w:lvl w:ilvl="1" w:tplc="91307D56">
      <w:start w:val="1"/>
      <w:numFmt w:val="bullet"/>
      <w:lvlText w:val="-"/>
      <w:lvlJc w:val="left"/>
      <w:pPr>
        <w:ind w:left="1440" w:hanging="360"/>
      </w:pPr>
      <w:rPr>
        <w:rFonts w:ascii="Times New Roman" w:eastAsia="Times New Roman" w:hAnsi="Times New Roman" w:cs="Times New Roman" w:hint="default"/>
        <w:b w:val="0"/>
      </w:rPr>
    </w:lvl>
    <w:lvl w:ilvl="2" w:tplc="8DE40B84">
      <w:start w:val="1"/>
      <w:numFmt w:val="decimal"/>
      <w:lvlText w:val="(%3)"/>
      <w:lvlJc w:val="left"/>
      <w:pPr>
        <w:ind w:left="2160" w:hanging="360"/>
      </w:p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413332"/>
    <w:multiLevelType w:val="hybridMultilevel"/>
    <w:tmpl w:val="68B8B0A2"/>
    <w:lvl w:ilvl="0" w:tplc="080C0015">
      <w:start w:val="1"/>
      <w:numFmt w:val="upperLetter"/>
      <w:lvlText w:val="%1."/>
      <w:lvlJc w:val="left"/>
      <w:pPr>
        <w:ind w:left="1287" w:hanging="360"/>
      </w:pPr>
    </w:lvl>
    <w:lvl w:ilvl="1" w:tplc="080C0019" w:tentative="1">
      <w:start w:val="1"/>
      <w:numFmt w:val="lowerLetter"/>
      <w:lvlText w:val="%2."/>
      <w:lvlJc w:val="left"/>
      <w:pPr>
        <w:ind w:left="2007" w:hanging="360"/>
      </w:pPr>
    </w:lvl>
    <w:lvl w:ilvl="2" w:tplc="080C001B" w:tentative="1">
      <w:start w:val="1"/>
      <w:numFmt w:val="lowerRoman"/>
      <w:lvlText w:val="%3."/>
      <w:lvlJc w:val="right"/>
      <w:pPr>
        <w:ind w:left="2727" w:hanging="180"/>
      </w:pPr>
    </w:lvl>
    <w:lvl w:ilvl="3" w:tplc="080C000F" w:tentative="1">
      <w:start w:val="1"/>
      <w:numFmt w:val="decimal"/>
      <w:lvlText w:val="%4."/>
      <w:lvlJc w:val="left"/>
      <w:pPr>
        <w:ind w:left="3447" w:hanging="360"/>
      </w:pPr>
    </w:lvl>
    <w:lvl w:ilvl="4" w:tplc="080C0019" w:tentative="1">
      <w:start w:val="1"/>
      <w:numFmt w:val="lowerLetter"/>
      <w:lvlText w:val="%5."/>
      <w:lvlJc w:val="left"/>
      <w:pPr>
        <w:ind w:left="4167" w:hanging="360"/>
      </w:pPr>
    </w:lvl>
    <w:lvl w:ilvl="5" w:tplc="080C001B" w:tentative="1">
      <w:start w:val="1"/>
      <w:numFmt w:val="lowerRoman"/>
      <w:lvlText w:val="%6."/>
      <w:lvlJc w:val="right"/>
      <w:pPr>
        <w:ind w:left="4887" w:hanging="180"/>
      </w:pPr>
    </w:lvl>
    <w:lvl w:ilvl="6" w:tplc="080C000F" w:tentative="1">
      <w:start w:val="1"/>
      <w:numFmt w:val="decimal"/>
      <w:lvlText w:val="%7."/>
      <w:lvlJc w:val="left"/>
      <w:pPr>
        <w:ind w:left="5607" w:hanging="360"/>
      </w:pPr>
    </w:lvl>
    <w:lvl w:ilvl="7" w:tplc="080C0019" w:tentative="1">
      <w:start w:val="1"/>
      <w:numFmt w:val="lowerLetter"/>
      <w:lvlText w:val="%8."/>
      <w:lvlJc w:val="left"/>
      <w:pPr>
        <w:ind w:left="6327" w:hanging="360"/>
      </w:pPr>
    </w:lvl>
    <w:lvl w:ilvl="8" w:tplc="080C001B" w:tentative="1">
      <w:start w:val="1"/>
      <w:numFmt w:val="lowerRoman"/>
      <w:lvlText w:val="%9."/>
      <w:lvlJc w:val="right"/>
      <w:pPr>
        <w:ind w:left="7047" w:hanging="180"/>
      </w:pPr>
    </w:lvl>
  </w:abstractNum>
  <w:abstractNum w:abstractNumId="5" w15:restartNumberingAfterBreak="0">
    <w:nsid w:val="1C10488B"/>
    <w:multiLevelType w:val="hybridMultilevel"/>
    <w:tmpl w:val="47A8542E"/>
    <w:lvl w:ilvl="0" w:tplc="080C000F">
      <w:start w:val="1"/>
      <w:numFmt w:val="decimal"/>
      <w:lvlText w:val="%1."/>
      <w:lvlJc w:val="left"/>
      <w:pPr>
        <w:ind w:left="927" w:hanging="360"/>
      </w:pPr>
      <w:rPr>
        <w:b w:val="0"/>
        <w:bCs w:val="0"/>
      </w:rPr>
    </w:lvl>
    <w:lvl w:ilvl="1" w:tplc="080C0019">
      <w:start w:val="1"/>
      <w:numFmt w:val="lowerLetter"/>
      <w:lvlText w:val="%2."/>
      <w:lvlJc w:val="left"/>
      <w:pPr>
        <w:ind w:left="1647" w:hanging="360"/>
      </w:pPr>
    </w:lvl>
    <w:lvl w:ilvl="2" w:tplc="080C001B">
      <w:start w:val="1"/>
      <w:numFmt w:val="lowerRoman"/>
      <w:lvlText w:val="%3."/>
      <w:lvlJc w:val="right"/>
      <w:pPr>
        <w:ind w:left="2367" w:hanging="180"/>
      </w:pPr>
    </w:lvl>
    <w:lvl w:ilvl="3" w:tplc="080C000F">
      <w:start w:val="1"/>
      <w:numFmt w:val="decimal"/>
      <w:lvlText w:val="%4."/>
      <w:lvlJc w:val="left"/>
      <w:pPr>
        <w:ind w:left="3087" w:hanging="360"/>
      </w:pPr>
    </w:lvl>
    <w:lvl w:ilvl="4" w:tplc="080C0019">
      <w:start w:val="1"/>
      <w:numFmt w:val="lowerLetter"/>
      <w:lvlText w:val="%5."/>
      <w:lvlJc w:val="left"/>
      <w:pPr>
        <w:ind w:left="3807" w:hanging="360"/>
      </w:pPr>
    </w:lvl>
    <w:lvl w:ilvl="5" w:tplc="080C001B">
      <w:start w:val="1"/>
      <w:numFmt w:val="lowerRoman"/>
      <w:lvlText w:val="%6."/>
      <w:lvlJc w:val="right"/>
      <w:pPr>
        <w:ind w:left="4527" w:hanging="180"/>
      </w:pPr>
    </w:lvl>
    <w:lvl w:ilvl="6" w:tplc="080C000F">
      <w:start w:val="1"/>
      <w:numFmt w:val="decimal"/>
      <w:lvlText w:val="%7."/>
      <w:lvlJc w:val="left"/>
      <w:pPr>
        <w:ind w:left="5247" w:hanging="360"/>
      </w:pPr>
    </w:lvl>
    <w:lvl w:ilvl="7" w:tplc="080C0019">
      <w:start w:val="1"/>
      <w:numFmt w:val="lowerLetter"/>
      <w:lvlText w:val="%8."/>
      <w:lvlJc w:val="left"/>
      <w:pPr>
        <w:ind w:left="5967" w:hanging="360"/>
      </w:pPr>
    </w:lvl>
    <w:lvl w:ilvl="8" w:tplc="080C001B">
      <w:start w:val="1"/>
      <w:numFmt w:val="lowerRoman"/>
      <w:lvlText w:val="%9."/>
      <w:lvlJc w:val="right"/>
      <w:pPr>
        <w:ind w:left="6687" w:hanging="180"/>
      </w:pPr>
    </w:lvl>
  </w:abstractNum>
  <w:abstractNum w:abstractNumId="6" w15:restartNumberingAfterBreak="0">
    <w:nsid w:val="2FFD3B20"/>
    <w:multiLevelType w:val="hybridMultilevel"/>
    <w:tmpl w:val="0AD297CA"/>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7" w15:restartNumberingAfterBreak="0">
    <w:nsid w:val="34584973"/>
    <w:multiLevelType w:val="hybridMultilevel"/>
    <w:tmpl w:val="1FC8800A"/>
    <w:lvl w:ilvl="0" w:tplc="080C0019">
      <w:start w:val="1"/>
      <w:numFmt w:val="lowerLetter"/>
      <w:lvlText w:val="%1."/>
      <w:lvlJc w:val="left"/>
      <w:pPr>
        <w:ind w:left="720" w:hanging="360"/>
      </w:pPr>
    </w:lvl>
    <w:lvl w:ilvl="1" w:tplc="080C0019">
      <w:start w:val="1"/>
      <w:numFmt w:val="lowerLetter"/>
      <w:lvlText w:val="%2."/>
      <w:lvlJc w:val="left"/>
      <w:pPr>
        <w:ind w:left="1440" w:hanging="360"/>
      </w:pPr>
    </w:lvl>
    <w:lvl w:ilvl="2" w:tplc="080C001B">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8" w15:restartNumberingAfterBreak="0">
    <w:nsid w:val="35B761CA"/>
    <w:multiLevelType w:val="hybridMultilevel"/>
    <w:tmpl w:val="FB8A9E42"/>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9" w15:restartNumberingAfterBreak="0">
    <w:nsid w:val="41ED56D9"/>
    <w:multiLevelType w:val="hybridMultilevel"/>
    <w:tmpl w:val="33884426"/>
    <w:lvl w:ilvl="0" w:tplc="B5F6552E">
      <w:start w:val="1"/>
      <w:numFmt w:val="bullet"/>
      <w:lvlText w:val=""/>
      <w:lvlJc w:val="left"/>
      <w:pPr>
        <w:ind w:left="927" w:hanging="360"/>
      </w:pPr>
      <w:rPr>
        <w:rFonts w:ascii="Symbol" w:hAnsi="Symbol" w:hint="default"/>
        <w:caps w:val="0"/>
        <w:strike w:val="0"/>
        <w:dstrike w:val="0"/>
        <w:vanish w:val="0"/>
        <w:sz w:val="22"/>
        <w:vertAlign w:val="baseline"/>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49505081"/>
    <w:multiLevelType w:val="hybridMultilevel"/>
    <w:tmpl w:val="FCEA4386"/>
    <w:lvl w:ilvl="0" w:tplc="9364F71E">
      <w:start w:val="1"/>
      <w:numFmt w:val="decimal"/>
      <w:lvlText w:val="%1."/>
      <w:lvlJc w:val="left"/>
      <w:pPr>
        <w:ind w:left="760" w:hanging="360"/>
      </w:pPr>
      <w:rPr>
        <w:rFonts w:hint="default"/>
        <w:b/>
        <w:bCs/>
        <w:i/>
        <w:iCs/>
      </w:rPr>
    </w:lvl>
    <w:lvl w:ilvl="1" w:tplc="080C0019" w:tentative="1">
      <w:start w:val="1"/>
      <w:numFmt w:val="lowerLetter"/>
      <w:lvlText w:val="%2."/>
      <w:lvlJc w:val="left"/>
      <w:pPr>
        <w:ind w:left="1480" w:hanging="360"/>
      </w:pPr>
    </w:lvl>
    <w:lvl w:ilvl="2" w:tplc="080C001B" w:tentative="1">
      <w:start w:val="1"/>
      <w:numFmt w:val="lowerRoman"/>
      <w:lvlText w:val="%3."/>
      <w:lvlJc w:val="right"/>
      <w:pPr>
        <w:ind w:left="2200" w:hanging="180"/>
      </w:pPr>
    </w:lvl>
    <w:lvl w:ilvl="3" w:tplc="080C000F" w:tentative="1">
      <w:start w:val="1"/>
      <w:numFmt w:val="decimal"/>
      <w:lvlText w:val="%4."/>
      <w:lvlJc w:val="left"/>
      <w:pPr>
        <w:ind w:left="2920" w:hanging="360"/>
      </w:pPr>
    </w:lvl>
    <w:lvl w:ilvl="4" w:tplc="080C0019" w:tentative="1">
      <w:start w:val="1"/>
      <w:numFmt w:val="lowerLetter"/>
      <w:lvlText w:val="%5."/>
      <w:lvlJc w:val="left"/>
      <w:pPr>
        <w:ind w:left="3640" w:hanging="360"/>
      </w:pPr>
    </w:lvl>
    <w:lvl w:ilvl="5" w:tplc="080C001B" w:tentative="1">
      <w:start w:val="1"/>
      <w:numFmt w:val="lowerRoman"/>
      <w:lvlText w:val="%6."/>
      <w:lvlJc w:val="right"/>
      <w:pPr>
        <w:ind w:left="4360" w:hanging="180"/>
      </w:pPr>
    </w:lvl>
    <w:lvl w:ilvl="6" w:tplc="080C000F" w:tentative="1">
      <w:start w:val="1"/>
      <w:numFmt w:val="decimal"/>
      <w:lvlText w:val="%7."/>
      <w:lvlJc w:val="left"/>
      <w:pPr>
        <w:ind w:left="5080" w:hanging="360"/>
      </w:pPr>
    </w:lvl>
    <w:lvl w:ilvl="7" w:tplc="080C0019" w:tentative="1">
      <w:start w:val="1"/>
      <w:numFmt w:val="lowerLetter"/>
      <w:lvlText w:val="%8."/>
      <w:lvlJc w:val="left"/>
      <w:pPr>
        <w:ind w:left="5800" w:hanging="360"/>
      </w:pPr>
    </w:lvl>
    <w:lvl w:ilvl="8" w:tplc="080C001B" w:tentative="1">
      <w:start w:val="1"/>
      <w:numFmt w:val="lowerRoman"/>
      <w:lvlText w:val="%9."/>
      <w:lvlJc w:val="right"/>
      <w:pPr>
        <w:ind w:left="6520" w:hanging="180"/>
      </w:pPr>
    </w:lvl>
  </w:abstractNum>
  <w:abstractNum w:abstractNumId="11" w15:restartNumberingAfterBreak="0">
    <w:nsid w:val="4BAA75AB"/>
    <w:multiLevelType w:val="hybridMultilevel"/>
    <w:tmpl w:val="A260E97E"/>
    <w:lvl w:ilvl="0" w:tplc="31420898">
      <w:start w:val="1"/>
      <w:numFmt w:val="lowerRoman"/>
      <w:lvlText w:val="(%1)"/>
      <w:lvlJc w:val="left"/>
      <w:pPr>
        <w:ind w:left="1287" w:hanging="360"/>
      </w:pPr>
    </w:lvl>
    <w:lvl w:ilvl="1" w:tplc="08090019">
      <w:start w:val="1"/>
      <w:numFmt w:val="lowerLetter"/>
      <w:lvlText w:val="%2."/>
      <w:lvlJc w:val="left"/>
      <w:pPr>
        <w:ind w:left="2007" w:hanging="360"/>
      </w:pPr>
    </w:lvl>
    <w:lvl w:ilvl="2" w:tplc="080C0019">
      <w:start w:val="1"/>
      <w:numFmt w:val="lowerLetter"/>
      <w:lvlText w:val="%3."/>
      <w:lvlJc w:val="left"/>
      <w:pPr>
        <w:ind w:left="2727" w:hanging="180"/>
      </w:pPr>
    </w:lvl>
    <w:lvl w:ilvl="3" w:tplc="0809000F">
      <w:start w:val="1"/>
      <w:numFmt w:val="decimal"/>
      <w:lvlText w:val="%4."/>
      <w:lvlJc w:val="left"/>
      <w:pPr>
        <w:ind w:left="3447" w:hanging="360"/>
      </w:pPr>
    </w:lvl>
    <w:lvl w:ilvl="4" w:tplc="08090019">
      <w:start w:val="1"/>
      <w:numFmt w:val="lowerLetter"/>
      <w:lvlText w:val="%5."/>
      <w:lvlJc w:val="left"/>
      <w:pPr>
        <w:ind w:left="4167" w:hanging="360"/>
      </w:pPr>
    </w:lvl>
    <w:lvl w:ilvl="5" w:tplc="0809001B">
      <w:start w:val="1"/>
      <w:numFmt w:val="lowerRoman"/>
      <w:lvlText w:val="%6."/>
      <w:lvlJc w:val="right"/>
      <w:pPr>
        <w:ind w:left="4887" w:hanging="180"/>
      </w:pPr>
    </w:lvl>
    <w:lvl w:ilvl="6" w:tplc="0809000F">
      <w:start w:val="1"/>
      <w:numFmt w:val="decimal"/>
      <w:lvlText w:val="%7."/>
      <w:lvlJc w:val="left"/>
      <w:pPr>
        <w:ind w:left="5607" w:hanging="360"/>
      </w:pPr>
    </w:lvl>
    <w:lvl w:ilvl="7" w:tplc="08090019">
      <w:start w:val="1"/>
      <w:numFmt w:val="lowerLetter"/>
      <w:lvlText w:val="%8."/>
      <w:lvlJc w:val="left"/>
      <w:pPr>
        <w:ind w:left="6327" w:hanging="360"/>
      </w:pPr>
    </w:lvl>
    <w:lvl w:ilvl="8" w:tplc="0809001B">
      <w:start w:val="1"/>
      <w:numFmt w:val="lowerRoman"/>
      <w:lvlText w:val="%9."/>
      <w:lvlJc w:val="right"/>
      <w:pPr>
        <w:ind w:left="7047" w:hanging="180"/>
      </w:pPr>
    </w:lvl>
  </w:abstractNum>
  <w:abstractNum w:abstractNumId="12" w15:restartNumberingAfterBreak="0">
    <w:nsid w:val="4C867BCB"/>
    <w:multiLevelType w:val="hybridMultilevel"/>
    <w:tmpl w:val="D530328A"/>
    <w:lvl w:ilvl="0" w:tplc="080C0019">
      <w:start w:val="1"/>
      <w:numFmt w:val="lowerLetter"/>
      <w:lvlText w:val="%1."/>
      <w:lvlJc w:val="left"/>
      <w:pPr>
        <w:ind w:left="1647" w:hanging="360"/>
      </w:pPr>
    </w:lvl>
    <w:lvl w:ilvl="1" w:tplc="080C0019">
      <w:start w:val="1"/>
      <w:numFmt w:val="lowerLetter"/>
      <w:lvlText w:val="%2."/>
      <w:lvlJc w:val="left"/>
      <w:pPr>
        <w:ind w:left="2367" w:hanging="360"/>
      </w:pPr>
    </w:lvl>
    <w:lvl w:ilvl="2" w:tplc="080C001B">
      <w:start w:val="1"/>
      <w:numFmt w:val="lowerRoman"/>
      <w:lvlText w:val="%3."/>
      <w:lvlJc w:val="right"/>
      <w:pPr>
        <w:ind w:left="3087" w:hanging="180"/>
      </w:pPr>
    </w:lvl>
    <w:lvl w:ilvl="3" w:tplc="080C000F">
      <w:start w:val="1"/>
      <w:numFmt w:val="decimal"/>
      <w:lvlText w:val="%4."/>
      <w:lvlJc w:val="left"/>
      <w:pPr>
        <w:ind w:left="3807" w:hanging="360"/>
      </w:pPr>
    </w:lvl>
    <w:lvl w:ilvl="4" w:tplc="080C0019">
      <w:start w:val="1"/>
      <w:numFmt w:val="lowerLetter"/>
      <w:lvlText w:val="%5."/>
      <w:lvlJc w:val="left"/>
      <w:pPr>
        <w:ind w:left="4527" w:hanging="360"/>
      </w:pPr>
    </w:lvl>
    <w:lvl w:ilvl="5" w:tplc="080C001B">
      <w:start w:val="1"/>
      <w:numFmt w:val="lowerRoman"/>
      <w:lvlText w:val="%6."/>
      <w:lvlJc w:val="right"/>
      <w:pPr>
        <w:ind w:left="5247" w:hanging="180"/>
      </w:pPr>
    </w:lvl>
    <w:lvl w:ilvl="6" w:tplc="080C000F">
      <w:start w:val="1"/>
      <w:numFmt w:val="decimal"/>
      <w:lvlText w:val="%7."/>
      <w:lvlJc w:val="left"/>
      <w:pPr>
        <w:ind w:left="5967" w:hanging="360"/>
      </w:pPr>
    </w:lvl>
    <w:lvl w:ilvl="7" w:tplc="080C0019">
      <w:start w:val="1"/>
      <w:numFmt w:val="lowerLetter"/>
      <w:lvlText w:val="%8."/>
      <w:lvlJc w:val="left"/>
      <w:pPr>
        <w:ind w:left="6687" w:hanging="360"/>
      </w:pPr>
    </w:lvl>
    <w:lvl w:ilvl="8" w:tplc="080C001B">
      <w:start w:val="1"/>
      <w:numFmt w:val="lowerRoman"/>
      <w:lvlText w:val="%9."/>
      <w:lvlJc w:val="right"/>
      <w:pPr>
        <w:ind w:left="7407" w:hanging="180"/>
      </w:pPr>
    </w:lvl>
  </w:abstractNum>
  <w:abstractNum w:abstractNumId="13" w15:restartNumberingAfterBreak="0">
    <w:nsid w:val="5B9B2041"/>
    <w:multiLevelType w:val="hybridMultilevel"/>
    <w:tmpl w:val="F2EAB378"/>
    <w:lvl w:ilvl="0" w:tplc="A712DA64">
      <w:start w:val="1"/>
      <w:numFmt w:val="decimal"/>
      <w:lvlText w:val="%1."/>
      <w:lvlJc w:val="left"/>
      <w:pPr>
        <w:ind w:left="927" w:hanging="360"/>
      </w:pPr>
      <w:rPr>
        <w:b w:val="0"/>
        <w:bCs w:val="0"/>
      </w:rPr>
    </w:lvl>
    <w:lvl w:ilvl="1" w:tplc="080C0019">
      <w:start w:val="1"/>
      <w:numFmt w:val="lowerLetter"/>
      <w:lvlText w:val="%2."/>
      <w:lvlJc w:val="left"/>
      <w:pPr>
        <w:ind w:left="1647" w:hanging="360"/>
      </w:pPr>
    </w:lvl>
    <w:lvl w:ilvl="2" w:tplc="080C001B">
      <w:start w:val="1"/>
      <w:numFmt w:val="lowerRoman"/>
      <w:lvlText w:val="%3."/>
      <w:lvlJc w:val="right"/>
      <w:pPr>
        <w:ind w:left="2367" w:hanging="180"/>
      </w:pPr>
    </w:lvl>
    <w:lvl w:ilvl="3" w:tplc="080C000F">
      <w:start w:val="1"/>
      <w:numFmt w:val="decimal"/>
      <w:lvlText w:val="%4."/>
      <w:lvlJc w:val="left"/>
      <w:pPr>
        <w:ind w:left="3087" w:hanging="360"/>
      </w:pPr>
    </w:lvl>
    <w:lvl w:ilvl="4" w:tplc="080C0019">
      <w:start w:val="1"/>
      <w:numFmt w:val="lowerLetter"/>
      <w:lvlText w:val="%5."/>
      <w:lvlJc w:val="left"/>
      <w:pPr>
        <w:ind w:left="3807" w:hanging="360"/>
      </w:pPr>
    </w:lvl>
    <w:lvl w:ilvl="5" w:tplc="080C001B">
      <w:start w:val="1"/>
      <w:numFmt w:val="lowerRoman"/>
      <w:lvlText w:val="%6."/>
      <w:lvlJc w:val="right"/>
      <w:pPr>
        <w:ind w:left="4527" w:hanging="180"/>
      </w:pPr>
    </w:lvl>
    <w:lvl w:ilvl="6" w:tplc="080C000F">
      <w:start w:val="1"/>
      <w:numFmt w:val="decimal"/>
      <w:lvlText w:val="%7."/>
      <w:lvlJc w:val="left"/>
      <w:pPr>
        <w:ind w:left="5247" w:hanging="360"/>
      </w:pPr>
    </w:lvl>
    <w:lvl w:ilvl="7" w:tplc="080C0019">
      <w:start w:val="1"/>
      <w:numFmt w:val="lowerLetter"/>
      <w:lvlText w:val="%8."/>
      <w:lvlJc w:val="left"/>
      <w:pPr>
        <w:ind w:left="5967" w:hanging="360"/>
      </w:pPr>
    </w:lvl>
    <w:lvl w:ilvl="8" w:tplc="080C001B">
      <w:start w:val="1"/>
      <w:numFmt w:val="lowerRoman"/>
      <w:lvlText w:val="%9."/>
      <w:lvlJc w:val="right"/>
      <w:pPr>
        <w:ind w:left="6687" w:hanging="180"/>
      </w:pPr>
    </w:lvl>
  </w:abstractNum>
  <w:abstractNum w:abstractNumId="14" w15:restartNumberingAfterBreak="0">
    <w:nsid w:val="64EE51C6"/>
    <w:multiLevelType w:val="hybridMultilevel"/>
    <w:tmpl w:val="D7D4A09A"/>
    <w:lvl w:ilvl="0" w:tplc="080C0019">
      <w:start w:val="1"/>
      <w:numFmt w:val="lowerLetter"/>
      <w:lvlText w:val="%1."/>
      <w:lvlJc w:val="left"/>
      <w:pPr>
        <w:ind w:left="1647" w:hanging="360"/>
      </w:pPr>
    </w:lvl>
    <w:lvl w:ilvl="1" w:tplc="080C0019">
      <w:start w:val="1"/>
      <w:numFmt w:val="lowerLetter"/>
      <w:lvlText w:val="%2."/>
      <w:lvlJc w:val="left"/>
      <w:pPr>
        <w:ind w:left="2367" w:hanging="360"/>
      </w:pPr>
    </w:lvl>
    <w:lvl w:ilvl="2" w:tplc="080C001B">
      <w:start w:val="1"/>
      <w:numFmt w:val="lowerRoman"/>
      <w:lvlText w:val="%3."/>
      <w:lvlJc w:val="right"/>
      <w:pPr>
        <w:ind w:left="3087" w:hanging="180"/>
      </w:pPr>
    </w:lvl>
    <w:lvl w:ilvl="3" w:tplc="080C000F">
      <w:start w:val="1"/>
      <w:numFmt w:val="decimal"/>
      <w:lvlText w:val="%4."/>
      <w:lvlJc w:val="left"/>
      <w:pPr>
        <w:ind w:left="3807" w:hanging="360"/>
      </w:pPr>
    </w:lvl>
    <w:lvl w:ilvl="4" w:tplc="080C0019">
      <w:start w:val="1"/>
      <w:numFmt w:val="lowerLetter"/>
      <w:lvlText w:val="%5."/>
      <w:lvlJc w:val="left"/>
      <w:pPr>
        <w:ind w:left="4527" w:hanging="360"/>
      </w:pPr>
    </w:lvl>
    <w:lvl w:ilvl="5" w:tplc="080C001B">
      <w:start w:val="1"/>
      <w:numFmt w:val="lowerRoman"/>
      <w:lvlText w:val="%6."/>
      <w:lvlJc w:val="right"/>
      <w:pPr>
        <w:ind w:left="5247" w:hanging="180"/>
      </w:pPr>
    </w:lvl>
    <w:lvl w:ilvl="6" w:tplc="080C000F">
      <w:start w:val="1"/>
      <w:numFmt w:val="decimal"/>
      <w:lvlText w:val="%7."/>
      <w:lvlJc w:val="left"/>
      <w:pPr>
        <w:ind w:left="5967" w:hanging="360"/>
      </w:pPr>
    </w:lvl>
    <w:lvl w:ilvl="7" w:tplc="080C0019">
      <w:start w:val="1"/>
      <w:numFmt w:val="lowerLetter"/>
      <w:lvlText w:val="%8."/>
      <w:lvlJc w:val="left"/>
      <w:pPr>
        <w:ind w:left="6687" w:hanging="360"/>
      </w:pPr>
    </w:lvl>
    <w:lvl w:ilvl="8" w:tplc="080C001B">
      <w:start w:val="1"/>
      <w:numFmt w:val="lowerRoman"/>
      <w:lvlText w:val="%9."/>
      <w:lvlJc w:val="right"/>
      <w:pPr>
        <w:ind w:left="7407" w:hanging="180"/>
      </w:pPr>
    </w:lvl>
  </w:abstractNum>
  <w:abstractNum w:abstractNumId="15" w15:restartNumberingAfterBreak="0">
    <w:nsid w:val="666F08C6"/>
    <w:multiLevelType w:val="hybridMultilevel"/>
    <w:tmpl w:val="634487EE"/>
    <w:lvl w:ilvl="0" w:tplc="260E718E">
      <w:start w:val="1"/>
      <w:numFmt w:val="decimal"/>
      <w:lvlText w:val="%1."/>
      <w:lvlJc w:val="left"/>
      <w:pPr>
        <w:ind w:left="927" w:hanging="360"/>
      </w:pPr>
      <w:rPr>
        <w:b w:val="0"/>
        <w:bCs w:val="0"/>
      </w:rPr>
    </w:lvl>
    <w:lvl w:ilvl="1" w:tplc="080C0019">
      <w:start w:val="1"/>
      <w:numFmt w:val="lowerLetter"/>
      <w:lvlText w:val="%2."/>
      <w:lvlJc w:val="left"/>
      <w:pPr>
        <w:ind w:left="1440" w:hanging="360"/>
      </w:pPr>
    </w:lvl>
    <w:lvl w:ilvl="2" w:tplc="080C001B">
      <w:start w:val="1"/>
      <w:numFmt w:val="lowerRoman"/>
      <w:lvlText w:val="%3."/>
      <w:lvlJc w:val="right"/>
      <w:pPr>
        <w:ind w:left="2160" w:hanging="180"/>
      </w:pPr>
    </w:lvl>
    <w:lvl w:ilvl="3" w:tplc="080C000F">
      <w:start w:val="1"/>
      <w:numFmt w:val="decimal"/>
      <w:lvlText w:val="%4."/>
      <w:lvlJc w:val="left"/>
      <w:pPr>
        <w:ind w:left="2880" w:hanging="360"/>
      </w:pPr>
    </w:lvl>
    <w:lvl w:ilvl="4" w:tplc="080C0019">
      <w:start w:val="1"/>
      <w:numFmt w:val="lowerLetter"/>
      <w:lvlText w:val="%5."/>
      <w:lvlJc w:val="left"/>
      <w:pPr>
        <w:ind w:left="3600" w:hanging="360"/>
      </w:pPr>
    </w:lvl>
    <w:lvl w:ilvl="5" w:tplc="080C001B">
      <w:start w:val="1"/>
      <w:numFmt w:val="lowerRoman"/>
      <w:lvlText w:val="%6."/>
      <w:lvlJc w:val="right"/>
      <w:pPr>
        <w:ind w:left="4320" w:hanging="180"/>
      </w:pPr>
    </w:lvl>
    <w:lvl w:ilvl="6" w:tplc="080C000F">
      <w:start w:val="1"/>
      <w:numFmt w:val="decimal"/>
      <w:lvlText w:val="%7."/>
      <w:lvlJc w:val="left"/>
      <w:pPr>
        <w:ind w:left="5040" w:hanging="360"/>
      </w:pPr>
    </w:lvl>
    <w:lvl w:ilvl="7" w:tplc="080C0019">
      <w:start w:val="1"/>
      <w:numFmt w:val="lowerLetter"/>
      <w:lvlText w:val="%8."/>
      <w:lvlJc w:val="left"/>
      <w:pPr>
        <w:ind w:left="5760" w:hanging="360"/>
      </w:pPr>
    </w:lvl>
    <w:lvl w:ilvl="8" w:tplc="080C001B">
      <w:start w:val="1"/>
      <w:numFmt w:val="lowerRoman"/>
      <w:lvlText w:val="%9."/>
      <w:lvlJc w:val="right"/>
      <w:pPr>
        <w:ind w:left="6480" w:hanging="180"/>
      </w:pPr>
    </w:lvl>
  </w:abstractNum>
  <w:abstractNum w:abstractNumId="16" w15:restartNumberingAfterBreak="0">
    <w:nsid w:val="6CC470CF"/>
    <w:multiLevelType w:val="hybridMultilevel"/>
    <w:tmpl w:val="F54C06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17D06EB"/>
    <w:multiLevelType w:val="hybridMultilevel"/>
    <w:tmpl w:val="C5A6F5AE"/>
    <w:lvl w:ilvl="0" w:tplc="080C0019">
      <w:start w:val="1"/>
      <w:numFmt w:val="lowerLetter"/>
      <w:lvlText w:val="%1."/>
      <w:lvlJc w:val="left"/>
      <w:pPr>
        <w:ind w:left="720" w:hanging="360"/>
      </w:pPr>
    </w:lvl>
    <w:lvl w:ilvl="1" w:tplc="080C0019">
      <w:start w:val="1"/>
      <w:numFmt w:val="lowerLetter"/>
      <w:lvlText w:val="%2."/>
      <w:lvlJc w:val="left"/>
      <w:pPr>
        <w:ind w:left="1440" w:hanging="360"/>
      </w:pPr>
    </w:lvl>
    <w:lvl w:ilvl="2" w:tplc="080C001B">
      <w:start w:val="1"/>
      <w:numFmt w:val="lowerRoman"/>
      <w:lvlText w:val="%3."/>
      <w:lvlJc w:val="right"/>
      <w:pPr>
        <w:ind w:left="2160" w:hanging="180"/>
      </w:pPr>
    </w:lvl>
    <w:lvl w:ilvl="3" w:tplc="080C000F">
      <w:start w:val="1"/>
      <w:numFmt w:val="decimal"/>
      <w:lvlText w:val="%4."/>
      <w:lvlJc w:val="left"/>
      <w:pPr>
        <w:ind w:left="2880" w:hanging="360"/>
      </w:pPr>
    </w:lvl>
    <w:lvl w:ilvl="4" w:tplc="080C0019">
      <w:start w:val="1"/>
      <w:numFmt w:val="lowerLetter"/>
      <w:lvlText w:val="%5."/>
      <w:lvlJc w:val="left"/>
      <w:pPr>
        <w:ind w:left="3600" w:hanging="360"/>
      </w:pPr>
    </w:lvl>
    <w:lvl w:ilvl="5" w:tplc="080C001B">
      <w:start w:val="1"/>
      <w:numFmt w:val="lowerRoman"/>
      <w:lvlText w:val="%6."/>
      <w:lvlJc w:val="right"/>
      <w:pPr>
        <w:ind w:left="4320" w:hanging="180"/>
      </w:pPr>
    </w:lvl>
    <w:lvl w:ilvl="6" w:tplc="080C000F">
      <w:start w:val="1"/>
      <w:numFmt w:val="decimal"/>
      <w:lvlText w:val="%7."/>
      <w:lvlJc w:val="left"/>
      <w:pPr>
        <w:ind w:left="5040" w:hanging="360"/>
      </w:pPr>
    </w:lvl>
    <w:lvl w:ilvl="7" w:tplc="080C0019">
      <w:start w:val="1"/>
      <w:numFmt w:val="lowerLetter"/>
      <w:lvlText w:val="%8."/>
      <w:lvlJc w:val="left"/>
      <w:pPr>
        <w:ind w:left="5760" w:hanging="360"/>
      </w:pPr>
    </w:lvl>
    <w:lvl w:ilvl="8" w:tplc="080C001B">
      <w:start w:val="1"/>
      <w:numFmt w:val="lowerRoman"/>
      <w:lvlText w:val="%9."/>
      <w:lvlJc w:val="right"/>
      <w:pPr>
        <w:ind w:left="6480"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4"/>
  </w:num>
  <w:num w:numId="5">
    <w:abstractNumId w:val="7"/>
  </w:num>
  <w:num w:numId="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lvlOverride w:ilvl="2">
      <w:startOverride w:val="1"/>
    </w:lvlOverride>
    <w:lvlOverride w:ilvl="3"/>
    <w:lvlOverride w:ilvl="4"/>
    <w:lvlOverride w:ilvl="5"/>
    <w:lvlOverride w:ilvl="6"/>
    <w:lvlOverride w:ilvl="7"/>
    <w:lvlOverride w:ilvl="8"/>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6"/>
  </w:num>
  <w:num w:numId="17">
    <w:abstractNumId w:val="1"/>
  </w:num>
  <w:num w:numId="18">
    <w:abstractNumId w:val="10"/>
  </w:num>
  <w:num w:numId="19">
    <w:abstractNumId w:val="8"/>
  </w:num>
  <w:num w:numId="20">
    <w:abstractNumId w:val="16"/>
  </w:num>
  <w:num w:numId="21">
    <w:abstractNumId w:val="0"/>
    <w:lvlOverride w:ilvl="0">
      <w:startOverride w:val="2"/>
    </w:lvlOverride>
    <w:lvlOverride w:ilvl="1">
      <w:startOverride w:val="3"/>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Ni Bhaoill Lapicki Roisin">
    <w15:presenceInfo w15:providerId="AD" w15:userId="S::Roisin.NiBhaoillLapicki@eesc.europa.eu::9f8fcb6e-50f3-4ec2-9448-efa721492d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370"/>
    <w:rsid w:val="0000163A"/>
    <w:rsid w:val="00003E1F"/>
    <w:rsid w:val="000045CF"/>
    <w:rsid w:val="00007376"/>
    <w:rsid w:val="00020389"/>
    <w:rsid w:val="000350FA"/>
    <w:rsid w:val="00052C15"/>
    <w:rsid w:val="00053D00"/>
    <w:rsid w:val="0005681E"/>
    <w:rsid w:val="0007527C"/>
    <w:rsid w:val="000848B4"/>
    <w:rsid w:val="000862B1"/>
    <w:rsid w:val="000874FC"/>
    <w:rsid w:val="0009122D"/>
    <w:rsid w:val="000A0F3B"/>
    <w:rsid w:val="000A6C9C"/>
    <w:rsid w:val="000D334F"/>
    <w:rsid w:val="000D34CA"/>
    <w:rsid w:val="000E1C6F"/>
    <w:rsid w:val="000E420D"/>
    <w:rsid w:val="000E5E03"/>
    <w:rsid w:val="0010194D"/>
    <w:rsid w:val="00106716"/>
    <w:rsid w:val="001119FD"/>
    <w:rsid w:val="00115651"/>
    <w:rsid w:val="00122F3F"/>
    <w:rsid w:val="00126F6D"/>
    <w:rsid w:val="001320C3"/>
    <w:rsid w:val="001379DF"/>
    <w:rsid w:val="00141E7B"/>
    <w:rsid w:val="00146B92"/>
    <w:rsid w:val="001525CD"/>
    <w:rsid w:val="00153981"/>
    <w:rsid w:val="001567ED"/>
    <w:rsid w:val="001574B5"/>
    <w:rsid w:val="00161724"/>
    <w:rsid w:val="00161CA4"/>
    <w:rsid w:val="00163A44"/>
    <w:rsid w:val="00185E99"/>
    <w:rsid w:val="0019231D"/>
    <w:rsid w:val="001955B6"/>
    <w:rsid w:val="00195C53"/>
    <w:rsid w:val="001A3DE9"/>
    <w:rsid w:val="001A4054"/>
    <w:rsid w:val="001A5D4B"/>
    <w:rsid w:val="001A6116"/>
    <w:rsid w:val="001D1D83"/>
    <w:rsid w:val="001D35E0"/>
    <w:rsid w:val="001D61AC"/>
    <w:rsid w:val="001E15AA"/>
    <w:rsid w:val="001E26E6"/>
    <w:rsid w:val="001E3FA1"/>
    <w:rsid w:val="001F4931"/>
    <w:rsid w:val="00200E87"/>
    <w:rsid w:val="00205B93"/>
    <w:rsid w:val="00206D14"/>
    <w:rsid w:val="0020709A"/>
    <w:rsid w:val="00214BDC"/>
    <w:rsid w:val="00215E81"/>
    <w:rsid w:val="00223773"/>
    <w:rsid w:val="0022479A"/>
    <w:rsid w:val="00244697"/>
    <w:rsid w:val="00245977"/>
    <w:rsid w:val="0024727F"/>
    <w:rsid w:val="00261ABD"/>
    <w:rsid w:val="0026678E"/>
    <w:rsid w:val="00273D3C"/>
    <w:rsid w:val="0027592F"/>
    <w:rsid w:val="00282E54"/>
    <w:rsid w:val="0028520E"/>
    <w:rsid w:val="002867E5"/>
    <w:rsid w:val="002909B0"/>
    <w:rsid w:val="002968BF"/>
    <w:rsid w:val="002B56C4"/>
    <w:rsid w:val="002B6A7B"/>
    <w:rsid w:val="002D01EA"/>
    <w:rsid w:val="002E301C"/>
    <w:rsid w:val="002E5558"/>
    <w:rsid w:val="002F0859"/>
    <w:rsid w:val="002F6520"/>
    <w:rsid w:val="00320DE7"/>
    <w:rsid w:val="003229FE"/>
    <w:rsid w:val="00332CE3"/>
    <w:rsid w:val="003345E3"/>
    <w:rsid w:val="00334D00"/>
    <w:rsid w:val="003353D7"/>
    <w:rsid w:val="00355185"/>
    <w:rsid w:val="003659F9"/>
    <w:rsid w:val="00374802"/>
    <w:rsid w:val="003776FA"/>
    <w:rsid w:val="00380121"/>
    <w:rsid w:val="00380F2E"/>
    <w:rsid w:val="00381A92"/>
    <w:rsid w:val="00392D66"/>
    <w:rsid w:val="00396F9C"/>
    <w:rsid w:val="003A27D4"/>
    <w:rsid w:val="003A6376"/>
    <w:rsid w:val="003B5B4E"/>
    <w:rsid w:val="003C13E5"/>
    <w:rsid w:val="003C501F"/>
    <w:rsid w:val="003C6003"/>
    <w:rsid w:val="003D0926"/>
    <w:rsid w:val="003D0C16"/>
    <w:rsid w:val="003D7C38"/>
    <w:rsid w:val="003F2438"/>
    <w:rsid w:val="00401DE5"/>
    <w:rsid w:val="004045BB"/>
    <w:rsid w:val="004051F7"/>
    <w:rsid w:val="0040573D"/>
    <w:rsid w:val="004105B7"/>
    <w:rsid w:val="00416EEA"/>
    <w:rsid w:val="00430008"/>
    <w:rsid w:val="004446DB"/>
    <w:rsid w:val="0045106C"/>
    <w:rsid w:val="00452896"/>
    <w:rsid w:val="00461CAF"/>
    <w:rsid w:val="004636D6"/>
    <w:rsid w:val="004649AB"/>
    <w:rsid w:val="00465045"/>
    <w:rsid w:val="0047461F"/>
    <w:rsid w:val="0048182C"/>
    <w:rsid w:val="004834B4"/>
    <w:rsid w:val="004871B8"/>
    <w:rsid w:val="00492082"/>
    <w:rsid w:val="004A2C8F"/>
    <w:rsid w:val="004A7F2B"/>
    <w:rsid w:val="004B084B"/>
    <w:rsid w:val="004D02B5"/>
    <w:rsid w:val="004E0C55"/>
    <w:rsid w:val="004E5D70"/>
    <w:rsid w:val="004F04BF"/>
    <w:rsid w:val="004F3B80"/>
    <w:rsid w:val="004F4606"/>
    <w:rsid w:val="00506190"/>
    <w:rsid w:val="00510C35"/>
    <w:rsid w:val="00520C0E"/>
    <w:rsid w:val="005233D2"/>
    <w:rsid w:val="00531EAB"/>
    <w:rsid w:val="00542323"/>
    <w:rsid w:val="0055348E"/>
    <w:rsid w:val="00572F05"/>
    <w:rsid w:val="005738B9"/>
    <w:rsid w:val="00574C9B"/>
    <w:rsid w:val="0058411F"/>
    <w:rsid w:val="00585207"/>
    <w:rsid w:val="00591520"/>
    <w:rsid w:val="0059284B"/>
    <w:rsid w:val="005961A4"/>
    <w:rsid w:val="005A479F"/>
    <w:rsid w:val="005B6691"/>
    <w:rsid w:val="005C1BAC"/>
    <w:rsid w:val="005C4C12"/>
    <w:rsid w:val="005C50B3"/>
    <w:rsid w:val="005C530F"/>
    <w:rsid w:val="005D43CC"/>
    <w:rsid w:val="005D75C0"/>
    <w:rsid w:val="005E344B"/>
    <w:rsid w:val="005E674A"/>
    <w:rsid w:val="005E6F4A"/>
    <w:rsid w:val="005E7235"/>
    <w:rsid w:val="00602A13"/>
    <w:rsid w:val="00603E94"/>
    <w:rsid w:val="006125A1"/>
    <w:rsid w:val="00613FB8"/>
    <w:rsid w:val="00621AE4"/>
    <w:rsid w:val="00633951"/>
    <w:rsid w:val="00635028"/>
    <w:rsid w:val="0063536A"/>
    <w:rsid w:val="0064571A"/>
    <w:rsid w:val="00653E7D"/>
    <w:rsid w:val="00662207"/>
    <w:rsid w:val="00663F3A"/>
    <w:rsid w:val="00667F09"/>
    <w:rsid w:val="0067373B"/>
    <w:rsid w:val="00674B53"/>
    <w:rsid w:val="00686424"/>
    <w:rsid w:val="006A2706"/>
    <w:rsid w:val="006B57A6"/>
    <w:rsid w:val="006C0EAF"/>
    <w:rsid w:val="006D39D5"/>
    <w:rsid w:val="006D4956"/>
    <w:rsid w:val="006D53A6"/>
    <w:rsid w:val="006D5F34"/>
    <w:rsid w:val="006F24EE"/>
    <w:rsid w:val="00705098"/>
    <w:rsid w:val="00706822"/>
    <w:rsid w:val="00717EB1"/>
    <w:rsid w:val="00717F5D"/>
    <w:rsid w:val="007228E0"/>
    <w:rsid w:val="00724003"/>
    <w:rsid w:val="00726F67"/>
    <w:rsid w:val="00730B4B"/>
    <w:rsid w:val="00731FB9"/>
    <w:rsid w:val="00734D6F"/>
    <w:rsid w:val="00754BA9"/>
    <w:rsid w:val="00756072"/>
    <w:rsid w:val="00760B84"/>
    <w:rsid w:val="00762002"/>
    <w:rsid w:val="00766EDC"/>
    <w:rsid w:val="0076708C"/>
    <w:rsid w:val="00774588"/>
    <w:rsid w:val="00774A1E"/>
    <w:rsid w:val="00782939"/>
    <w:rsid w:val="00785B59"/>
    <w:rsid w:val="00787837"/>
    <w:rsid w:val="00787ABB"/>
    <w:rsid w:val="00790400"/>
    <w:rsid w:val="007A1929"/>
    <w:rsid w:val="007A379B"/>
    <w:rsid w:val="007B1355"/>
    <w:rsid w:val="007B4701"/>
    <w:rsid w:val="007B6C64"/>
    <w:rsid w:val="007C266F"/>
    <w:rsid w:val="007C65A7"/>
    <w:rsid w:val="007D3878"/>
    <w:rsid w:val="007D567B"/>
    <w:rsid w:val="007E17D9"/>
    <w:rsid w:val="007E3231"/>
    <w:rsid w:val="007E750E"/>
    <w:rsid w:val="007F1A60"/>
    <w:rsid w:val="007F6323"/>
    <w:rsid w:val="007F71C4"/>
    <w:rsid w:val="00806FE2"/>
    <w:rsid w:val="00817C15"/>
    <w:rsid w:val="00822952"/>
    <w:rsid w:val="0083097C"/>
    <w:rsid w:val="00834AAA"/>
    <w:rsid w:val="00836211"/>
    <w:rsid w:val="00836505"/>
    <w:rsid w:val="00837061"/>
    <w:rsid w:val="00844B87"/>
    <w:rsid w:val="00844D9C"/>
    <w:rsid w:val="00847F59"/>
    <w:rsid w:val="008543FF"/>
    <w:rsid w:val="00860B42"/>
    <w:rsid w:val="008658CA"/>
    <w:rsid w:val="00867C81"/>
    <w:rsid w:val="008804BC"/>
    <w:rsid w:val="00884ADB"/>
    <w:rsid w:val="00885F30"/>
    <w:rsid w:val="0089251B"/>
    <w:rsid w:val="00896CE4"/>
    <w:rsid w:val="008A16FB"/>
    <w:rsid w:val="008A6DD4"/>
    <w:rsid w:val="008B2794"/>
    <w:rsid w:val="008C4CAA"/>
    <w:rsid w:val="008D2525"/>
    <w:rsid w:val="008D7CD9"/>
    <w:rsid w:val="008E4528"/>
    <w:rsid w:val="008E71CE"/>
    <w:rsid w:val="008F74D7"/>
    <w:rsid w:val="00904C42"/>
    <w:rsid w:val="00911FB0"/>
    <w:rsid w:val="00913B25"/>
    <w:rsid w:val="00914683"/>
    <w:rsid w:val="00916B22"/>
    <w:rsid w:val="009248DC"/>
    <w:rsid w:val="00924C05"/>
    <w:rsid w:val="00937CF2"/>
    <w:rsid w:val="009537E7"/>
    <w:rsid w:val="00961003"/>
    <w:rsid w:val="00967A2F"/>
    <w:rsid w:val="00976645"/>
    <w:rsid w:val="00976F77"/>
    <w:rsid w:val="00977906"/>
    <w:rsid w:val="00980C0C"/>
    <w:rsid w:val="0098228C"/>
    <w:rsid w:val="009832C7"/>
    <w:rsid w:val="009967DC"/>
    <w:rsid w:val="009A5752"/>
    <w:rsid w:val="009B6C89"/>
    <w:rsid w:val="009E2100"/>
    <w:rsid w:val="009F02D3"/>
    <w:rsid w:val="00A06C6C"/>
    <w:rsid w:val="00A11274"/>
    <w:rsid w:val="00A21F3B"/>
    <w:rsid w:val="00A23C21"/>
    <w:rsid w:val="00A2757A"/>
    <w:rsid w:val="00A27DC2"/>
    <w:rsid w:val="00A310E1"/>
    <w:rsid w:val="00A358E4"/>
    <w:rsid w:val="00A36AB0"/>
    <w:rsid w:val="00A537C2"/>
    <w:rsid w:val="00A54BA5"/>
    <w:rsid w:val="00A6313B"/>
    <w:rsid w:val="00A638AB"/>
    <w:rsid w:val="00A71967"/>
    <w:rsid w:val="00A74438"/>
    <w:rsid w:val="00A85DAE"/>
    <w:rsid w:val="00A92B71"/>
    <w:rsid w:val="00AA26BF"/>
    <w:rsid w:val="00AA52B2"/>
    <w:rsid w:val="00AB1680"/>
    <w:rsid w:val="00AB37A3"/>
    <w:rsid w:val="00AB641C"/>
    <w:rsid w:val="00AB6D77"/>
    <w:rsid w:val="00AC5114"/>
    <w:rsid w:val="00AD0A4C"/>
    <w:rsid w:val="00AD2D8D"/>
    <w:rsid w:val="00AD7BEF"/>
    <w:rsid w:val="00AF4B01"/>
    <w:rsid w:val="00B044F7"/>
    <w:rsid w:val="00B0606D"/>
    <w:rsid w:val="00B11A4D"/>
    <w:rsid w:val="00B25683"/>
    <w:rsid w:val="00B26595"/>
    <w:rsid w:val="00B31C13"/>
    <w:rsid w:val="00B330BD"/>
    <w:rsid w:val="00B35B72"/>
    <w:rsid w:val="00B37849"/>
    <w:rsid w:val="00B4064B"/>
    <w:rsid w:val="00B46B0B"/>
    <w:rsid w:val="00B51901"/>
    <w:rsid w:val="00B61D5F"/>
    <w:rsid w:val="00B62753"/>
    <w:rsid w:val="00B67004"/>
    <w:rsid w:val="00B726EF"/>
    <w:rsid w:val="00B849D3"/>
    <w:rsid w:val="00B9033E"/>
    <w:rsid w:val="00B90780"/>
    <w:rsid w:val="00BA4B32"/>
    <w:rsid w:val="00BB03D1"/>
    <w:rsid w:val="00BB1597"/>
    <w:rsid w:val="00BC4FD4"/>
    <w:rsid w:val="00BC5077"/>
    <w:rsid w:val="00BD0AD6"/>
    <w:rsid w:val="00BD19DA"/>
    <w:rsid w:val="00BD275E"/>
    <w:rsid w:val="00BD50F6"/>
    <w:rsid w:val="00BE3F63"/>
    <w:rsid w:val="00BE6C5A"/>
    <w:rsid w:val="00BF1EEA"/>
    <w:rsid w:val="00C06D96"/>
    <w:rsid w:val="00C073E1"/>
    <w:rsid w:val="00C153EA"/>
    <w:rsid w:val="00C25647"/>
    <w:rsid w:val="00C27A3D"/>
    <w:rsid w:val="00C340A7"/>
    <w:rsid w:val="00C56078"/>
    <w:rsid w:val="00C65D22"/>
    <w:rsid w:val="00C66AEA"/>
    <w:rsid w:val="00C76BA9"/>
    <w:rsid w:val="00C865FA"/>
    <w:rsid w:val="00C8687B"/>
    <w:rsid w:val="00C9040A"/>
    <w:rsid w:val="00C91E4D"/>
    <w:rsid w:val="00C941EA"/>
    <w:rsid w:val="00CB110A"/>
    <w:rsid w:val="00CB3FC9"/>
    <w:rsid w:val="00CB5952"/>
    <w:rsid w:val="00CB7CD0"/>
    <w:rsid w:val="00CD12B2"/>
    <w:rsid w:val="00CD47EA"/>
    <w:rsid w:val="00CD625F"/>
    <w:rsid w:val="00CE3FA8"/>
    <w:rsid w:val="00CF4BF8"/>
    <w:rsid w:val="00CF6924"/>
    <w:rsid w:val="00D02D39"/>
    <w:rsid w:val="00D039AF"/>
    <w:rsid w:val="00D05720"/>
    <w:rsid w:val="00D06734"/>
    <w:rsid w:val="00D13128"/>
    <w:rsid w:val="00D245C9"/>
    <w:rsid w:val="00D32F5C"/>
    <w:rsid w:val="00D3437E"/>
    <w:rsid w:val="00D44A37"/>
    <w:rsid w:val="00D5092D"/>
    <w:rsid w:val="00D52610"/>
    <w:rsid w:val="00D53F7C"/>
    <w:rsid w:val="00D626BA"/>
    <w:rsid w:val="00D645AB"/>
    <w:rsid w:val="00D7534C"/>
    <w:rsid w:val="00D821E4"/>
    <w:rsid w:val="00D93D1C"/>
    <w:rsid w:val="00D95232"/>
    <w:rsid w:val="00D96822"/>
    <w:rsid w:val="00D979AC"/>
    <w:rsid w:val="00DA2D12"/>
    <w:rsid w:val="00DB65E3"/>
    <w:rsid w:val="00DB7F50"/>
    <w:rsid w:val="00DC3D47"/>
    <w:rsid w:val="00DD6D78"/>
    <w:rsid w:val="00DE30C7"/>
    <w:rsid w:val="00DF3C63"/>
    <w:rsid w:val="00DF3DDB"/>
    <w:rsid w:val="00DF400F"/>
    <w:rsid w:val="00DF48E2"/>
    <w:rsid w:val="00E026EC"/>
    <w:rsid w:val="00E15BF4"/>
    <w:rsid w:val="00E175D0"/>
    <w:rsid w:val="00E2376B"/>
    <w:rsid w:val="00E23CC9"/>
    <w:rsid w:val="00E26935"/>
    <w:rsid w:val="00E27707"/>
    <w:rsid w:val="00E27B2B"/>
    <w:rsid w:val="00E333C8"/>
    <w:rsid w:val="00E40DE6"/>
    <w:rsid w:val="00E47B42"/>
    <w:rsid w:val="00E513F5"/>
    <w:rsid w:val="00E52B04"/>
    <w:rsid w:val="00E60494"/>
    <w:rsid w:val="00E60B24"/>
    <w:rsid w:val="00E66082"/>
    <w:rsid w:val="00E661B7"/>
    <w:rsid w:val="00E76B13"/>
    <w:rsid w:val="00E90A9D"/>
    <w:rsid w:val="00E93755"/>
    <w:rsid w:val="00E9449A"/>
    <w:rsid w:val="00EB0F9C"/>
    <w:rsid w:val="00EC35F3"/>
    <w:rsid w:val="00EE51F6"/>
    <w:rsid w:val="00EF1CD4"/>
    <w:rsid w:val="00F0439A"/>
    <w:rsid w:val="00F05119"/>
    <w:rsid w:val="00F06793"/>
    <w:rsid w:val="00F14785"/>
    <w:rsid w:val="00F1585A"/>
    <w:rsid w:val="00F2069F"/>
    <w:rsid w:val="00F207C2"/>
    <w:rsid w:val="00F20B61"/>
    <w:rsid w:val="00F2362B"/>
    <w:rsid w:val="00F25666"/>
    <w:rsid w:val="00F36CB4"/>
    <w:rsid w:val="00F41AAE"/>
    <w:rsid w:val="00F51EF6"/>
    <w:rsid w:val="00F53370"/>
    <w:rsid w:val="00F60552"/>
    <w:rsid w:val="00F81FE0"/>
    <w:rsid w:val="00F83FE1"/>
    <w:rsid w:val="00F87413"/>
    <w:rsid w:val="00F8789E"/>
    <w:rsid w:val="00F90BE2"/>
    <w:rsid w:val="00F96CFE"/>
    <w:rsid w:val="00FA23BF"/>
    <w:rsid w:val="00FB1D7A"/>
    <w:rsid w:val="00FC0CEA"/>
    <w:rsid w:val="00FC1315"/>
    <w:rsid w:val="00FD0443"/>
    <w:rsid w:val="00FD1DFE"/>
    <w:rsid w:val="00FE1B54"/>
    <w:rsid w:val="00FE4E3B"/>
    <w:rsid w:val="00FF05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6F69D"/>
  <w15:chartTrackingRefBased/>
  <w15:docId w15:val="{D381F634-0C15-4454-8DBD-75C4E885C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4C9B"/>
    <w:pPr>
      <w:spacing w:after="0" w:line="288" w:lineRule="auto"/>
      <w:jc w:val="both"/>
    </w:pPr>
    <w:rPr>
      <w:rFonts w:ascii="Times New Roman" w:eastAsia="Times New Roman" w:hAnsi="Times New Roman" w:cs="Times New Roman"/>
    </w:rPr>
  </w:style>
  <w:style w:type="paragraph" w:styleId="Heading1">
    <w:name w:val="heading 1"/>
    <w:basedOn w:val="Normal"/>
    <w:next w:val="Normal"/>
    <w:link w:val="Heading1Char"/>
    <w:qFormat/>
    <w:rsid w:val="00F53370"/>
    <w:pPr>
      <w:numPr>
        <w:numId w:val="1"/>
      </w:numPr>
      <w:ind w:left="567" w:hanging="567"/>
      <w:outlineLvl w:val="0"/>
    </w:pPr>
    <w:rPr>
      <w:kern w:val="28"/>
    </w:rPr>
  </w:style>
  <w:style w:type="paragraph" w:styleId="Heading2">
    <w:name w:val="heading 2"/>
    <w:basedOn w:val="Normal"/>
    <w:next w:val="Normal"/>
    <w:link w:val="Heading2Char"/>
    <w:qFormat/>
    <w:rsid w:val="00F53370"/>
    <w:pPr>
      <w:numPr>
        <w:ilvl w:val="1"/>
        <w:numId w:val="1"/>
      </w:numPr>
      <w:ind w:left="567" w:hanging="567"/>
      <w:outlineLvl w:val="1"/>
    </w:pPr>
  </w:style>
  <w:style w:type="paragraph" w:styleId="Heading3">
    <w:name w:val="heading 3"/>
    <w:basedOn w:val="Normal"/>
    <w:next w:val="Normal"/>
    <w:link w:val="Heading3Char"/>
    <w:qFormat/>
    <w:rsid w:val="00F53370"/>
    <w:pPr>
      <w:numPr>
        <w:ilvl w:val="2"/>
        <w:numId w:val="1"/>
      </w:numPr>
      <w:ind w:left="567" w:hanging="567"/>
      <w:outlineLvl w:val="2"/>
    </w:pPr>
  </w:style>
  <w:style w:type="paragraph" w:styleId="Heading4">
    <w:name w:val="heading 4"/>
    <w:basedOn w:val="Normal"/>
    <w:next w:val="Normal"/>
    <w:link w:val="Heading4Char"/>
    <w:qFormat/>
    <w:rsid w:val="00F53370"/>
    <w:pPr>
      <w:numPr>
        <w:ilvl w:val="3"/>
        <w:numId w:val="1"/>
      </w:numPr>
      <w:ind w:left="567" w:hanging="567"/>
      <w:outlineLvl w:val="3"/>
    </w:pPr>
  </w:style>
  <w:style w:type="paragraph" w:styleId="Heading5">
    <w:name w:val="heading 5"/>
    <w:basedOn w:val="Normal"/>
    <w:next w:val="Normal"/>
    <w:link w:val="Heading5Char"/>
    <w:qFormat/>
    <w:rsid w:val="00F53370"/>
    <w:pPr>
      <w:numPr>
        <w:ilvl w:val="4"/>
        <w:numId w:val="1"/>
      </w:numPr>
      <w:ind w:left="567" w:hanging="567"/>
      <w:outlineLvl w:val="4"/>
    </w:pPr>
  </w:style>
  <w:style w:type="paragraph" w:styleId="Heading6">
    <w:name w:val="heading 6"/>
    <w:basedOn w:val="Normal"/>
    <w:next w:val="Normal"/>
    <w:link w:val="Heading6Char"/>
    <w:qFormat/>
    <w:rsid w:val="00F53370"/>
    <w:pPr>
      <w:numPr>
        <w:ilvl w:val="5"/>
        <w:numId w:val="1"/>
      </w:numPr>
      <w:ind w:left="567" w:hanging="567"/>
      <w:outlineLvl w:val="5"/>
    </w:pPr>
  </w:style>
  <w:style w:type="paragraph" w:styleId="Heading7">
    <w:name w:val="heading 7"/>
    <w:basedOn w:val="Normal"/>
    <w:next w:val="Normal"/>
    <w:link w:val="Heading7Char"/>
    <w:qFormat/>
    <w:rsid w:val="00F53370"/>
    <w:pPr>
      <w:numPr>
        <w:ilvl w:val="6"/>
        <w:numId w:val="1"/>
      </w:numPr>
      <w:ind w:left="567" w:hanging="567"/>
      <w:outlineLvl w:val="6"/>
    </w:pPr>
  </w:style>
  <w:style w:type="paragraph" w:styleId="Heading8">
    <w:name w:val="heading 8"/>
    <w:basedOn w:val="Normal"/>
    <w:next w:val="Normal"/>
    <w:link w:val="Heading8Char"/>
    <w:qFormat/>
    <w:rsid w:val="00F53370"/>
    <w:pPr>
      <w:numPr>
        <w:ilvl w:val="7"/>
        <w:numId w:val="1"/>
      </w:numPr>
      <w:ind w:left="567" w:hanging="567"/>
      <w:outlineLvl w:val="7"/>
    </w:pPr>
  </w:style>
  <w:style w:type="paragraph" w:styleId="Heading9">
    <w:name w:val="heading 9"/>
    <w:basedOn w:val="Normal"/>
    <w:next w:val="Normal"/>
    <w:link w:val="Heading9Char"/>
    <w:qFormat/>
    <w:rsid w:val="00F53370"/>
    <w:pPr>
      <w:numPr>
        <w:ilvl w:val="8"/>
        <w:numId w:val="1"/>
      </w:numPr>
      <w:ind w:left="567" w:hanging="567"/>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53370"/>
    <w:rPr>
      <w:rFonts w:ascii="Times New Roman" w:eastAsia="Times New Roman" w:hAnsi="Times New Roman" w:cs="Times New Roman"/>
      <w:kern w:val="28"/>
    </w:rPr>
  </w:style>
  <w:style w:type="character" w:customStyle="1" w:styleId="Heading2Char">
    <w:name w:val="Heading 2 Char"/>
    <w:basedOn w:val="DefaultParagraphFont"/>
    <w:link w:val="Heading2"/>
    <w:rsid w:val="00F53370"/>
    <w:rPr>
      <w:rFonts w:ascii="Times New Roman" w:eastAsia="Times New Roman" w:hAnsi="Times New Roman" w:cs="Times New Roman"/>
    </w:rPr>
  </w:style>
  <w:style w:type="character" w:customStyle="1" w:styleId="Heading3Char">
    <w:name w:val="Heading 3 Char"/>
    <w:basedOn w:val="DefaultParagraphFont"/>
    <w:link w:val="Heading3"/>
    <w:rsid w:val="00F53370"/>
    <w:rPr>
      <w:rFonts w:ascii="Times New Roman" w:eastAsia="Times New Roman" w:hAnsi="Times New Roman" w:cs="Times New Roman"/>
    </w:rPr>
  </w:style>
  <w:style w:type="character" w:customStyle="1" w:styleId="Heading4Char">
    <w:name w:val="Heading 4 Char"/>
    <w:basedOn w:val="DefaultParagraphFont"/>
    <w:link w:val="Heading4"/>
    <w:rsid w:val="00F53370"/>
    <w:rPr>
      <w:rFonts w:ascii="Times New Roman" w:eastAsia="Times New Roman" w:hAnsi="Times New Roman" w:cs="Times New Roman"/>
    </w:rPr>
  </w:style>
  <w:style w:type="character" w:customStyle="1" w:styleId="Heading5Char">
    <w:name w:val="Heading 5 Char"/>
    <w:basedOn w:val="DefaultParagraphFont"/>
    <w:link w:val="Heading5"/>
    <w:rsid w:val="00F53370"/>
    <w:rPr>
      <w:rFonts w:ascii="Times New Roman" w:eastAsia="Times New Roman" w:hAnsi="Times New Roman" w:cs="Times New Roman"/>
    </w:rPr>
  </w:style>
  <w:style w:type="character" w:customStyle="1" w:styleId="Heading6Char">
    <w:name w:val="Heading 6 Char"/>
    <w:basedOn w:val="DefaultParagraphFont"/>
    <w:link w:val="Heading6"/>
    <w:rsid w:val="00F53370"/>
    <w:rPr>
      <w:rFonts w:ascii="Times New Roman" w:eastAsia="Times New Roman" w:hAnsi="Times New Roman" w:cs="Times New Roman"/>
    </w:rPr>
  </w:style>
  <w:style w:type="character" w:customStyle="1" w:styleId="Heading7Char">
    <w:name w:val="Heading 7 Char"/>
    <w:basedOn w:val="DefaultParagraphFont"/>
    <w:link w:val="Heading7"/>
    <w:rsid w:val="00F53370"/>
    <w:rPr>
      <w:rFonts w:ascii="Times New Roman" w:eastAsia="Times New Roman" w:hAnsi="Times New Roman" w:cs="Times New Roman"/>
    </w:rPr>
  </w:style>
  <w:style w:type="character" w:customStyle="1" w:styleId="Heading8Char">
    <w:name w:val="Heading 8 Char"/>
    <w:basedOn w:val="DefaultParagraphFont"/>
    <w:link w:val="Heading8"/>
    <w:rsid w:val="00F53370"/>
    <w:rPr>
      <w:rFonts w:ascii="Times New Roman" w:eastAsia="Times New Roman" w:hAnsi="Times New Roman" w:cs="Times New Roman"/>
    </w:rPr>
  </w:style>
  <w:style w:type="character" w:customStyle="1" w:styleId="Heading9Char">
    <w:name w:val="Heading 9 Char"/>
    <w:basedOn w:val="DefaultParagraphFont"/>
    <w:link w:val="Heading9"/>
    <w:rsid w:val="00F53370"/>
    <w:rPr>
      <w:rFonts w:ascii="Times New Roman" w:eastAsia="Times New Roman" w:hAnsi="Times New Roman" w:cs="Times New Roman"/>
    </w:rPr>
  </w:style>
  <w:style w:type="paragraph" w:styleId="Footer">
    <w:name w:val="footer"/>
    <w:basedOn w:val="Normal"/>
    <w:link w:val="FooterChar"/>
    <w:qFormat/>
    <w:rsid w:val="00F53370"/>
  </w:style>
  <w:style w:type="character" w:customStyle="1" w:styleId="FooterChar">
    <w:name w:val="Footer Char"/>
    <w:basedOn w:val="DefaultParagraphFont"/>
    <w:link w:val="Footer"/>
    <w:rsid w:val="00F53370"/>
    <w:rPr>
      <w:rFonts w:ascii="Times New Roman" w:eastAsia="Times New Roman" w:hAnsi="Times New Roman" w:cs="Times New Roman"/>
    </w:rPr>
  </w:style>
  <w:style w:type="paragraph" w:styleId="FootnoteText">
    <w:name w:val="footnote text"/>
    <w:basedOn w:val="Normal"/>
    <w:link w:val="FootnoteTextChar"/>
    <w:uiPriority w:val="99"/>
    <w:qFormat/>
    <w:rsid w:val="00F53370"/>
    <w:pPr>
      <w:keepLines/>
      <w:spacing w:after="60" w:line="240" w:lineRule="auto"/>
      <w:ind w:left="567" w:hanging="567"/>
    </w:pPr>
    <w:rPr>
      <w:sz w:val="16"/>
    </w:rPr>
  </w:style>
  <w:style w:type="character" w:customStyle="1" w:styleId="FootnoteTextChar">
    <w:name w:val="Footnote Text Char"/>
    <w:basedOn w:val="DefaultParagraphFont"/>
    <w:link w:val="FootnoteText"/>
    <w:uiPriority w:val="99"/>
    <w:rsid w:val="00F53370"/>
    <w:rPr>
      <w:rFonts w:ascii="Times New Roman" w:eastAsia="Times New Roman" w:hAnsi="Times New Roman" w:cs="Times New Roman"/>
      <w:sz w:val="16"/>
    </w:rPr>
  </w:style>
  <w:style w:type="paragraph" w:styleId="Header">
    <w:name w:val="header"/>
    <w:basedOn w:val="Normal"/>
    <w:link w:val="HeaderChar"/>
    <w:qFormat/>
    <w:rsid w:val="00F53370"/>
  </w:style>
  <w:style w:type="character" w:customStyle="1" w:styleId="HeaderChar">
    <w:name w:val="Header Char"/>
    <w:basedOn w:val="DefaultParagraphFont"/>
    <w:link w:val="Header"/>
    <w:rsid w:val="00F53370"/>
    <w:rPr>
      <w:rFonts w:ascii="Times New Roman" w:eastAsia="Times New Roman" w:hAnsi="Times New Roman" w:cs="Times New Roman"/>
    </w:rPr>
  </w:style>
  <w:style w:type="paragraph" w:customStyle="1" w:styleId="quotes">
    <w:name w:val="quotes"/>
    <w:basedOn w:val="Normal"/>
    <w:next w:val="Normal"/>
    <w:rsid w:val="00F53370"/>
    <w:pPr>
      <w:ind w:left="720"/>
    </w:pPr>
    <w:rPr>
      <w:i/>
    </w:rPr>
  </w:style>
  <w:style w:type="character" w:styleId="FootnoteReference">
    <w:name w:val="footnote reference"/>
    <w:aliases w:val="Footnote symbol"/>
    <w:basedOn w:val="DefaultParagraphFont"/>
    <w:uiPriority w:val="99"/>
    <w:unhideWhenUsed/>
    <w:qFormat/>
    <w:rsid w:val="00F53370"/>
    <w:rPr>
      <w:sz w:val="24"/>
      <w:vertAlign w:val="superscript"/>
    </w:rPr>
  </w:style>
  <w:style w:type="table" w:styleId="TableGrid">
    <w:name w:val="Table Grid"/>
    <w:basedOn w:val="TableNormal"/>
    <w:rsid w:val="00F53370"/>
    <w:pPr>
      <w:spacing w:after="0" w:line="240" w:lineRule="auto"/>
    </w:pPr>
    <w:rPr>
      <w:lang w:val="fr-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8A6DD4"/>
    <w:rPr>
      <w:color w:val="0000FF"/>
      <w:u w:val="single"/>
    </w:rPr>
  </w:style>
  <w:style w:type="character" w:styleId="CommentReference">
    <w:name w:val="annotation reference"/>
    <w:basedOn w:val="DefaultParagraphFont"/>
    <w:uiPriority w:val="99"/>
    <w:semiHidden/>
    <w:unhideWhenUsed/>
    <w:rsid w:val="00976F77"/>
    <w:rPr>
      <w:sz w:val="16"/>
      <w:szCs w:val="16"/>
    </w:rPr>
  </w:style>
  <w:style w:type="paragraph" w:styleId="CommentText">
    <w:name w:val="annotation text"/>
    <w:basedOn w:val="Normal"/>
    <w:link w:val="CommentTextChar"/>
    <w:uiPriority w:val="99"/>
    <w:semiHidden/>
    <w:unhideWhenUsed/>
    <w:rsid w:val="00976F77"/>
    <w:pPr>
      <w:spacing w:line="240" w:lineRule="auto"/>
    </w:pPr>
    <w:rPr>
      <w:sz w:val="20"/>
      <w:szCs w:val="20"/>
    </w:rPr>
  </w:style>
  <w:style w:type="character" w:customStyle="1" w:styleId="CommentTextChar">
    <w:name w:val="Comment Text Char"/>
    <w:basedOn w:val="DefaultParagraphFont"/>
    <w:link w:val="CommentText"/>
    <w:uiPriority w:val="99"/>
    <w:semiHidden/>
    <w:rsid w:val="00976F7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76F77"/>
    <w:rPr>
      <w:b/>
      <w:bCs/>
    </w:rPr>
  </w:style>
  <w:style w:type="character" w:customStyle="1" w:styleId="CommentSubjectChar">
    <w:name w:val="Comment Subject Char"/>
    <w:basedOn w:val="CommentTextChar"/>
    <w:link w:val="CommentSubject"/>
    <w:uiPriority w:val="99"/>
    <w:semiHidden/>
    <w:rsid w:val="00976F77"/>
    <w:rPr>
      <w:rFonts w:ascii="Times New Roman" w:eastAsia="Times New Roman" w:hAnsi="Times New Roman" w:cs="Times New Roman"/>
      <w:b/>
      <w:bCs/>
      <w:sz w:val="20"/>
      <w:szCs w:val="20"/>
    </w:rPr>
  </w:style>
  <w:style w:type="paragraph" w:styleId="Revision">
    <w:name w:val="Revision"/>
    <w:hidden/>
    <w:uiPriority w:val="99"/>
    <w:semiHidden/>
    <w:rsid w:val="00976F77"/>
    <w:pPr>
      <w:spacing w:after="0"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976F77"/>
    <w:pPr>
      <w:spacing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976F77"/>
    <w:rPr>
      <w:rFonts w:ascii="Segoe UI" w:eastAsia="Times New Roman" w:hAnsi="Segoe UI" w:cs="Times New Roman"/>
      <w:sz w:val="18"/>
      <w:szCs w:val="18"/>
    </w:rPr>
  </w:style>
  <w:style w:type="paragraph" w:styleId="ListParagraph">
    <w:name w:val="List Paragraph"/>
    <w:basedOn w:val="Normal"/>
    <w:uiPriority w:val="34"/>
    <w:qFormat/>
    <w:rsid w:val="007A379B"/>
    <w:pPr>
      <w:ind w:left="720"/>
      <w:contextualSpacing/>
    </w:pPr>
  </w:style>
  <w:style w:type="character" w:styleId="FollowedHyperlink">
    <w:name w:val="FollowedHyperlink"/>
    <w:basedOn w:val="DefaultParagraphFont"/>
    <w:uiPriority w:val="99"/>
    <w:semiHidden/>
    <w:unhideWhenUsed/>
    <w:rsid w:val="00F41AAE"/>
    <w:rPr>
      <w:color w:val="954F72" w:themeColor="followedHyperlink"/>
      <w:u w:val="single"/>
    </w:rPr>
  </w:style>
  <w:style w:type="character" w:customStyle="1" w:styleId="UnresolvedMention">
    <w:name w:val="Unresolved Mention"/>
    <w:basedOn w:val="DefaultParagraphFont"/>
    <w:uiPriority w:val="99"/>
    <w:semiHidden/>
    <w:unhideWhenUsed/>
    <w:rsid w:val="0026678E"/>
    <w:rPr>
      <w:color w:val="605E5C"/>
      <w:shd w:val="clear" w:color="auto" w:fill="E1DFDD"/>
    </w:rPr>
  </w:style>
  <w:style w:type="table" w:customStyle="1" w:styleId="TableGrid1">
    <w:name w:val="Table Grid1"/>
    <w:basedOn w:val="TableNormal"/>
    <w:rsid w:val="001379DF"/>
    <w:pPr>
      <w:spacing w:after="0" w:line="288" w:lineRule="auto"/>
      <w:jc w:val="both"/>
    </w:pPr>
    <w:rPr>
      <w:rFonts w:ascii="Times New Roman" w:eastAsia="Times New Roman" w:hAnsi="Times New Roman" w:cs="Times New Roman"/>
      <w:sz w:val="20"/>
      <w:szCs w:val="20"/>
      <w:lang w:val="en-GB" w:eastAsia="en-GB" w:bidi="en-GB"/>
    </w:rPr>
    <w:tblPr>
      <w:tblStyleRowBandSize w:val="1"/>
      <w:tblStyleColBandSize w:val="1"/>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26595"/>
    <w:pPr>
      <w:spacing w:before="100" w:beforeAutospacing="1" w:after="100" w:afterAutospacing="1" w:line="240" w:lineRule="auto"/>
      <w:jc w:val="left"/>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249245">
      <w:bodyDiv w:val="1"/>
      <w:marLeft w:val="0"/>
      <w:marRight w:val="0"/>
      <w:marTop w:val="0"/>
      <w:marBottom w:val="0"/>
      <w:divBdr>
        <w:top w:val="none" w:sz="0" w:space="0" w:color="auto"/>
        <w:left w:val="none" w:sz="0" w:space="0" w:color="auto"/>
        <w:bottom w:val="none" w:sz="0" w:space="0" w:color="auto"/>
        <w:right w:val="none" w:sz="0" w:space="0" w:color="auto"/>
      </w:divBdr>
    </w:div>
    <w:div w:id="409040072">
      <w:bodyDiv w:val="1"/>
      <w:marLeft w:val="0"/>
      <w:marRight w:val="0"/>
      <w:marTop w:val="0"/>
      <w:marBottom w:val="0"/>
      <w:divBdr>
        <w:top w:val="none" w:sz="0" w:space="0" w:color="auto"/>
        <w:left w:val="none" w:sz="0" w:space="0" w:color="auto"/>
        <w:bottom w:val="none" w:sz="0" w:space="0" w:color="auto"/>
        <w:right w:val="none" w:sz="0" w:space="0" w:color="auto"/>
      </w:divBdr>
    </w:div>
    <w:div w:id="423918645">
      <w:bodyDiv w:val="1"/>
      <w:marLeft w:val="0"/>
      <w:marRight w:val="0"/>
      <w:marTop w:val="0"/>
      <w:marBottom w:val="0"/>
      <w:divBdr>
        <w:top w:val="none" w:sz="0" w:space="0" w:color="auto"/>
        <w:left w:val="none" w:sz="0" w:space="0" w:color="auto"/>
        <w:bottom w:val="none" w:sz="0" w:space="0" w:color="auto"/>
        <w:right w:val="none" w:sz="0" w:space="0" w:color="auto"/>
      </w:divBdr>
    </w:div>
    <w:div w:id="581332439">
      <w:bodyDiv w:val="1"/>
      <w:marLeft w:val="0"/>
      <w:marRight w:val="0"/>
      <w:marTop w:val="0"/>
      <w:marBottom w:val="0"/>
      <w:divBdr>
        <w:top w:val="none" w:sz="0" w:space="0" w:color="auto"/>
        <w:left w:val="none" w:sz="0" w:space="0" w:color="auto"/>
        <w:bottom w:val="none" w:sz="0" w:space="0" w:color="auto"/>
        <w:right w:val="none" w:sz="0" w:space="0" w:color="auto"/>
      </w:divBdr>
    </w:div>
    <w:div w:id="1027370246">
      <w:bodyDiv w:val="1"/>
      <w:marLeft w:val="0"/>
      <w:marRight w:val="0"/>
      <w:marTop w:val="0"/>
      <w:marBottom w:val="0"/>
      <w:divBdr>
        <w:top w:val="none" w:sz="0" w:space="0" w:color="auto"/>
        <w:left w:val="none" w:sz="0" w:space="0" w:color="auto"/>
        <w:bottom w:val="none" w:sz="0" w:space="0" w:color="auto"/>
        <w:right w:val="none" w:sz="0" w:space="0" w:color="auto"/>
      </w:divBdr>
    </w:div>
    <w:div w:id="1299460249">
      <w:bodyDiv w:val="1"/>
      <w:marLeft w:val="0"/>
      <w:marRight w:val="0"/>
      <w:marTop w:val="0"/>
      <w:marBottom w:val="0"/>
      <w:divBdr>
        <w:top w:val="none" w:sz="0" w:space="0" w:color="auto"/>
        <w:left w:val="none" w:sz="0" w:space="0" w:color="auto"/>
        <w:bottom w:val="none" w:sz="0" w:space="0" w:color="auto"/>
        <w:right w:val="none" w:sz="0" w:space="0" w:color="auto"/>
      </w:divBdr>
    </w:div>
    <w:div w:id="1318922125">
      <w:bodyDiv w:val="1"/>
      <w:marLeft w:val="0"/>
      <w:marRight w:val="0"/>
      <w:marTop w:val="0"/>
      <w:marBottom w:val="0"/>
      <w:divBdr>
        <w:top w:val="none" w:sz="0" w:space="0" w:color="auto"/>
        <w:left w:val="none" w:sz="0" w:space="0" w:color="auto"/>
        <w:bottom w:val="none" w:sz="0" w:space="0" w:color="auto"/>
        <w:right w:val="none" w:sz="0" w:space="0" w:color="auto"/>
      </w:divBdr>
    </w:div>
    <w:div w:id="1381830535">
      <w:bodyDiv w:val="1"/>
      <w:marLeft w:val="0"/>
      <w:marRight w:val="0"/>
      <w:marTop w:val="0"/>
      <w:marBottom w:val="0"/>
      <w:divBdr>
        <w:top w:val="none" w:sz="0" w:space="0" w:color="auto"/>
        <w:left w:val="none" w:sz="0" w:space="0" w:color="auto"/>
        <w:bottom w:val="none" w:sz="0" w:space="0" w:color="auto"/>
        <w:right w:val="none" w:sz="0" w:space="0" w:color="auto"/>
      </w:divBdr>
    </w:div>
    <w:div w:id="1635679588">
      <w:bodyDiv w:val="1"/>
      <w:marLeft w:val="0"/>
      <w:marRight w:val="0"/>
      <w:marTop w:val="0"/>
      <w:marBottom w:val="0"/>
      <w:divBdr>
        <w:top w:val="none" w:sz="0" w:space="0" w:color="auto"/>
        <w:left w:val="none" w:sz="0" w:space="0" w:color="auto"/>
        <w:bottom w:val="none" w:sz="0" w:space="0" w:color="auto"/>
        <w:right w:val="none" w:sz="0" w:space="0" w:color="auto"/>
      </w:divBdr>
    </w:div>
    <w:div w:id="1643658521">
      <w:bodyDiv w:val="1"/>
      <w:marLeft w:val="0"/>
      <w:marRight w:val="0"/>
      <w:marTop w:val="0"/>
      <w:marBottom w:val="0"/>
      <w:divBdr>
        <w:top w:val="none" w:sz="0" w:space="0" w:color="auto"/>
        <w:left w:val="none" w:sz="0" w:space="0" w:color="auto"/>
        <w:bottom w:val="none" w:sz="0" w:space="0" w:color="auto"/>
        <w:right w:val="none" w:sz="0" w:space="0" w:color="auto"/>
      </w:divBdr>
    </w:div>
    <w:div w:id="1870022773">
      <w:bodyDiv w:val="1"/>
      <w:marLeft w:val="0"/>
      <w:marRight w:val="0"/>
      <w:marTop w:val="0"/>
      <w:marBottom w:val="0"/>
      <w:divBdr>
        <w:top w:val="none" w:sz="0" w:space="0" w:color="auto"/>
        <w:left w:val="none" w:sz="0" w:space="0" w:color="auto"/>
        <w:bottom w:val="none" w:sz="0" w:space="0" w:color="auto"/>
        <w:right w:val="none" w:sz="0" w:space="0" w:color="auto"/>
      </w:divBdr>
    </w:div>
    <w:div w:id="187303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law-tracker.europa.eu/procedure/2026_138?lang=en" TargetMode="External"/><Relationship Id="rId26" Type="http://schemas.openxmlformats.org/officeDocument/2006/relationships/footer" Target="footer4.xml"/><Relationship Id="rId21" Type="http://schemas.openxmlformats.org/officeDocument/2006/relationships/hyperlink" Target="https://sdgs.un.org/goals/goal9" TargetMode="Externa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5.xml"/><Relationship Id="rId33" Type="http://schemas.microsoft.com/office/2011/relationships/people" Target="people.xml"/><Relationship Id="rId38" Type="http://schemas.openxmlformats.org/officeDocument/2006/relationships/customXml" Target="../customXml/item4.xml"/><Relationship Id="rId16" Type="http://schemas.openxmlformats.org/officeDocument/2006/relationships/header" Target="header3.xml"/><Relationship Id="rId20" Type="http://schemas.openxmlformats.org/officeDocument/2006/relationships/hyperlink" Target="https://digital-strategy.ec.europa.eu/en/policies/cloud-and-ai-development-act" TargetMode="External"/><Relationship Id="rId29" Type="http://schemas.openxmlformats.org/officeDocument/2006/relationships/header" Target="header8.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32" Type="http://schemas.openxmlformats.org/officeDocument/2006/relationships/fontTable" Target="fontTable.xml"/><Relationship Id="rId37" Type="http://schemas.openxmlformats.org/officeDocument/2006/relationships/customXml" Target="../customXml/item3.xml"/><Relationship Id="rId15" Type="http://schemas.openxmlformats.org/officeDocument/2006/relationships/footer" Target="footer2.xml"/><Relationship Id="rId23" Type="http://schemas.openxmlformats.org/officeDocument/2006/relationships/hyperlink" Target="https://sdgs.un.org/goals/goal16" TargetMode="External"/><Relationship Id="rId28" Type="http://schemas.openxmlformats.org/officeDocument/2006/relationships/header" Target="header7.xml"/><Relationship Id="rId36" Type="http://schemas.openxmlformats.org/officeDocument/2006/relationships/customXml" Target="../customXml/item2.xml"/><Relationship Id="rId10" Type="http://schemas.openxmlformats.org/officeDocument/2006/relationships/footnotes" Target="footnotes.xml"/><Relationship Id="rId19" Type="http://schemas.openxmlformats.org/officeDocument/2006/relationships/hyperlink" Target="https://eur-lex.europa.eu/legal-content/EN/TXT/?uri=CELEX%3A52026PC0502&amp;qid=1789995801492" TargetMode="External"/><Relationship Id="rId31" Type="http://schemas.openxmlformats.org/officeDocument/2006/relationships/header" Target="header9.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sdgs.un.org/goals/goal11" TargetMode="External"/><Relationship Id="rId27" Type="http://schemas.openxmlformats.org/officeDocument/2006/relationships/header" Target="header6.xml"/><Relationship Id="rId30" Type="http://schemas.openxmlformats.org/officeDocument/2006/relationships/footer" Target="footer5.xml"/><Relationship Id="rId35" Type="http://schemas.openxmlformats.org/officeDocument/2006/relationships/customXml" Target="../customXml/item1.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eur-lex.europa.eu/legal-content/EN/TXT/?uri=uriserv:OJ.C_.2023.184.01.0028.01.ENG" TargetMode="External"/><Relationship Id="rId7" Type="http://schemas.openxmlformats.org/officeDocument/2006/relationships/hyperlink" Target="https://eur-lex.europa.eu/legal-content/EN/TXT/?uri=uriserv:OJ.C_.2023.184.01.0028.01.ENG" TargetMode="External"/><Relationship Id="rId2" Type="http://schemas.openxmlformats.org/officeDocument/2006/relationships/hyperlink" Target="http://data.europa.eu/eli/C/2026/3549/oj" TargetMode="External"/><Relationship Id="rId1" Type="http://schemas.openxmlformats.org/officeDocument/2006/relationships/hyperlink" Target="http://data.europa.eu/eli/C/2026/1960/oj" TargetMode="External"/><Relationship Id="rId6" Type="http://schemas.openxmlformats.org/officeDocument/2006/relationships/hyperlink" Target="https://eur-lex.europa.eu/legal-content/EN/TXT/?uri=oj:JOC_2016_487_R_0014" TargetMode="External"/><Relationship Id="rId5" Type="http://schemas.openxmlformats.org/officeDocument/2006/relationships/hyperlink" Target="http://data.europa.eu/eli/C/2026/1960/oj" TargetMode="External"/><Relationship Id="rId4" Type="http://schemas.openxmlformats.org/officeDocument/2006/relationships/hyperlink" Target="https://eur-lex.europa.eu/legal-content/EN/TXT/?uri=oj:JOC_2016_487_R_001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M Document" ma:contentTypeID="0x010100EA97B91038054C99906057A708A1480A008DB70E9ED1E50D4285F2944EED0BA178" ma:contentTypeVersion="4" ma:contentTypeDescription="Defines the documents for Document Manager V2" ma:contentTypeScope="" ma:versionID="283023acf4b964714ba604722b5381ea">
  <xsd:schema xmlns:xsd="http://www.w3.org/2001/XMLSchema" xmlns:xs="http://www.w3.org/2001/XMLSchema" xmlns:p="http://schemas.microsoft.com/office/2006/metadata/properties" xmlns:ns2="7d640e6d-779c-472f-a269-6b546787f1c9" xmlns:ns3="http://schemas.microsoft.com/sharepoint/v3/fields" xmlns:ns4="1819524c-29f2-4026-988c-b363cca822d9" targetNamespace="http://schemas.microsoft.com/office/2006/metadata/properties" ma:root="true" ma:fieldsID="73fbf92d162c12cfda624dbfc784d413" ns2:_="" ns3:_="" ns4:_="">
    <xsd:import namespace="7d640e6d-779c-472f-a269-6b546787f1c9"/>
    <xsd:import namespace="http://schemas.microsoft.com/sharepoint/v3/fields"/>
    <xsd:import namespace="1819524c-29f2-4026-988c-b363cca822d9"/>
    <xsd:element name="properties">
      <xsd:complexType>
        <xsd:sequence>
          <xsd:element name="documentManagement">
            <xsd:complexType>
              <xsd:all>
                <xsd:element ref="ns2:_dlc_DocId" minOccurs="0"/>
                <xsd:element ref="ns2:_dlc_DocIdUrl" minOccurs="0"/>
                <xsd:element ref="ns2:_dlc_DocIdPersistId" minOccurs="0"/>
                <xsd:element ref="ns2:ProductionDate" minOccurs="0"/>
                <xsd:element ref="ns2:OriginalSender" minOccurs="0"/>
                <xsd:element ref="ns3:DocumentLanguage_0" minOccurs="0"/>
                <xsd:element ref="ns2:DossierNumber" minOccurs="0"/>
                <xsd:element ref="ns4:MeetingNumber" minOccurs="0"/>
                <xsd:element ref="ns2:Rapporteur" minOccurs="0"/>
                <xsd:element ref="ns2:AdoptionDate" minOccurs="0"/>
                <xsd:element ref="ns3:Confidentiality_0" minOccurs="0"/>
                <xsd:element ref="ns2:TaxCatchAll" minOccurs="0"/>
                <xsd:element ref="ns2:TaxCatchAllLabel" minOccurs="0"/>
                <xsd:element ref="ns3:DocumentSource_0" minOccurs="0"/>
                <xsd:element ref="ns4:DocumentNumber" minOccurs="0"/>
                <xsd:element ref="ns2:MeetingDate" minOccurs="0"/>
                <xsd:element ref="ns3:OriginalLanguage_0" minOccurs="0"/>
                <xsd:element ref="ns2:Procedure" minOccurs="0"/>
                <xsd:element ref="ns3:VersionStatus_0" minOccurs="0"/>
                <xsd:element ref="ns3:DocumentStatus_0" minOccurs="0"/>
                <xsd:element ref="ns2:DocumentYear"/>
                <xsd:element ref="ns3:DocumentType_0" minOccurs="0"/>
                <xsd:element ref="ns2:DocumentPart" minOccurs="0"/>
                <xsd:element ref="ns3:MeetingName_0" minOccurs="0"/>
                <xsd:element ref="ns3:AvailableTranslations_0" minOccurs="0"/>
                <xsd:element ref="ns2:FicheYear" minOccurs="0"/>
                <xsd:element ref="ns2:RequestingService" minOccurs="0"/>
                <xsd:element ref="ns2:FicheNumber" minOccurs="0"/>
                <xsd:element ref="ns3:DossierName_0" minOccurs="0"/>
                <xsd:element ref="ns2:Document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640e6d-779c-472f-a269-6b546787f1c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ProductionDate" ma:index="12" nillable="true" ma:displayName="Production Date" ma:format="DateOnly" ma:internalName="ProductionDate">
      <xsd:simpleType>
        <xsd:restriction base="dms:DateTime"/>
      </xsd:simpleType>
    </xsd:element>
    <xsd:element name="OriginalSender" ma:index="13" nillable="true" ma:displayName="Original Sender" ma:internalName="OriginalSend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ssierNumber" ma:index="15" nillable="true" ma:displayName="Dossier Number" ma:decimals="0" ma:internalName="DossierNumber">
      <xsd:simpleType>
        <xsd:restriction base="dms:Unknown"/>
      </xsd:simpleType>
    </xsd:element>
    <xsd:element name="Rapporteur" ma:index="17" nillable="true" ma:displayName="Rapporteur" ma:internalName="Rapporteur">
      <xsd:simpleType>
        <xsd:restriction base="dms:Text"/>
      </xsd:simpleType>
    </xsd:element>
    <xsd:element name="AdoptionDate" ma:index="18" nillable="true" ma:displayName="Adoption Date" ma:format="DateOnly" ma:internalName="AdoptionDate">
      <xsd:simpleType>
        <xsd:restriction base="dms:DateTime"/>
      </xsd:simpleType>
    </xsd:element>
    <xsd:element name="TaxCatchAll" ma:index="20" nillable="true" ma:displayName="Taxonomy Catch All Column" ma:hidden="true" ma:list="{e5d5f94b-50e9-4cbb-ab92-b4cc43d6d222}" ma:internalName="TaxCatchAll" ma:showField="CatchAllData" ma:web="7d640e6d-779c-472f-a269-6b546787f1c9">
      <xsd:complexType>
        <xsd:complexContent>
          <xsd:extension base="dms:MultiChoiceLookup">
            <xsd:sequence>
              <xsd:element name="Value" type="dms:Lookup" maxOccurs="unbounded" minOccurs="0" nillable="true"/>
            </xsd:sequence>
          </xsd:extension>
        </xsd:complexContent>
      </xsd:complexType>
    </xsd:element>
    <xsd:element name="TaxCatchAllLabel" ma:index="21" nillable="true" ma:displayName="Taxonomy Catch All Column1" ma:hidden="true" ma:list="{e5d5f94b-50e9-4cbb-ab92-b4cc43d6d222}" ma:internalName="TaxCatchAllLabel" ma:readOnly="true" ma:showField="CatchAllDataLabel" ma:web="7d640e6d-779c-472f-a269-6b546787f1c9">
      <xsd:complexType>
        <xsd:complexContent>
          <xsd:extension base="dms:MultiChoiceLookup">
            <xsd:sequence>
              <xsd:element name="Value" type="dms:Lookup" maxOccurs="unbounded" minOccurs="0" nillable="true"/>
            </xsd:sequence>
          </xsd:extension>
        </xsd:complexContent>
      </xsd:complexType>
    </xsd:element>
    <xsd:element name="MeetingDate" ma:index="26" nillable="true" ma:displayName="Meeting Date" ma:format="DateOnly" ma:internalName="MeetingDate">
      <xsd:simpleType>
        <xsd:restriction base="dms:DateTime"/>
      </xsd:simpleType>
    </xsd:element>
    <xsd:element name="Procedure" ma:index="29" nillable="true" ma:displayName="Procedure" ma:internalName="Procedure">
      <xsd:simpleType>
        <xsd:restriction base="dms:Text"/>
      </xsd:simpleType>
    </xsd:element>
    <xsd:element name="DocumentYear" ma:index="34" ma:displayName="Document Year" ma:decimals="0" ma:internalName="DocumentYear">
      <xsd:simpleType>
        <xsd:restriction base="dms:Unknown"/>
      </xsd:simpleType>
    </xsd:element>
    <xsd:element name="DocumentPart" ma:index="37" nillable="true" ma:displayName="Document Part" ma:decimals="0" ma:internalName="DocumentPart">
      <xsd:simpleType>
        <xsd:restriction base="dms:Unknown"/>
      </xsd:simpleType>
    </xsd:element>
    <xsd:element name="FicheYear" ma:index="42" nillable="true" ma:displayName="Fiche Year" ma:decimals="0" ma:internalName="FicheYear">
      <xsd:simpleType>
        <xsd:restriction base="dms:Unknown"/>
      </xsd:simpleType>
    </xsd:element>
    <xsd:element name="RequestingService" ma:index="43" nillable="true" ma:displayName="Requesting Service" ma:internalName="RequestingService">
      <xsd:simpleType>
        <xsd:restriction base="dms:Text"/>
      </xsd:simpleType>
    </xsd:element>
    <xsd:element name="FicheNumber" ma:index="44" nillable="true" ma:displayName="Fiche Number" ma:decimals="0" ma:internalName="FicheNumber">
      <xsd:simpleType>
        <xsd:restriction base="dms:Unknown"/>
      </xsd:simpleType>
    </xsd:element>
    <xsd:element name="DocumentVersion" ma:index="47" nillable="true" ma:displayName="Document Version" ma:decimals="0" ma:internalName="DocumentVersion">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DocumentLanguage_0" ma:index="14" nillable="true" ma:taxonomy="true" ma:internalName="DocumentLanguage_0" ma:taxonomyFieldName="DocumentLanguage" ma:displayName="Document Language" ma:fieldId="{ee5c55ab-e8dd-441f-8840-fdce66906fe3}" ma:sspId="5004ddca-ed1a-45fa-b2df-508b3c5dfc98" ma:termSetId="3e8d1f59-71f7-428c-bd68-e1e655ad5441" ma:anchorId="00000000-0000-0000-0000-000000000000" ma:open="false" ma:isKeyword="false">
      <xsd:complexType>
        <xsd:sequence>
          <xsd:element ref="pc:Terms" minOccurs="0" maxOccurs="1"/>
        </xsd:sequence>
      </xsd:complexType>
    </xsd:element>
    <xsd:element name="Confidentiality_0" ma:index="19" nillable="true" ma:taxonomy="true" ma:internalName="Confidentiality_0" ma:taxonomyFieldName="Confidentiality" ma:displayName="Confidentiality" ma:fieldId="{ee5c4bfe-2b62-4831-9131-22edf8f3665c}" ma:sspId="5004ddca-ed1a-45fa-b2df-508b3c5dfc98" ma:termSetId="11d040ac-3a9a-4d4c-b9cf-922342a701d6" ma:anchorId="00000000-0000-0000-0000-000000000000" ma:open="false" ma:isKeyword="false">
      <xsd:complexType>
        <xsd:sequence>
          <xsd:element ref="pc:Terms" minOccurs="0" maxOccurs="1"/>
        </xsd:sequence>
      </xsd:complexType>
    </xsd:element>
    <xsd:element name="DocumentSource_0" ma:index="23" ma:taxonomy="true" ma:internalName="DocumentSource_0" ma:taxonomyFieldName="DocumentSource" ma:displayName="Document Source" ma:fieldId="{ee5c1c29-f257-4aae-8e5e-529c0040e17a}" ma:sspId="5004ddca-ed1a-45fa-b2df-508b3c5dfc98" ma:termSetId="ca143256-a90d-4d26-b249-02646b17c0c5" ma:anchorId="00000000-0000-0000-0000-000000000000" ma:open="false" ma:isKeyword="false">
      <xsd:complexType>
        <xsd:sequence>
          <xsd:element ref="pc:Terms" minOccurs="0" maxOccurs="1"/>
        </xsd:sequence>
      </xsd:complexType>
    </xsd:element>
    <xsd:element name="OriginalLanguage_0" ma:index="27" nillable="true" ma:taxonomy="true" ma:internalName="OriginalLanguage_0" ma:taxonomyFieldName="OriginalLanguage" ma:displayName="Original Language" ma:fieldId="{ee5ce750-ff6c-4875-8192-ef11fb51efba}" ma:taxonomyMulti="true" ma:sspId="5004ddca-ed1a-45fa-b2df-508b3c5dfc98" ma:termSetId="3e8d1f59-71f7-428c-bd68-e1e655ad5441" ma:anchorId="00000000-0000-0000-0000-000000000000" ma:open="false" ma:isKeyword="false">
      <xsd:complexType>
        <xsd:sequence>
          <xsd:element ref="pc:Terms" minOccurs="0" maxOccurs="1"/>
        </xsd:sequence>
      </xsd:complexType>
    </xsd:element>
    <xsd:element name="VersionStatus_0" ma:index="30" ma:taxonomy="true" ma:internalName="VersionStatus_0" ma:taxonomyFieldName="VersionStatus" ma:displayName="Version Status" ma:indexed="true" ma:fieldId="{ee5cb94b-3df1-4df3-b49b-6e47ce2a7e87}" ma:sspId="5004ddca-ed1a-45fa-b2df-508b3c5dfc98" ma:termSetId="adeca67b-2bdd-4d0f-b3af-a690b4c6d95d" ma:anchorId="00000000-0000-0000-0000-000000000000" ma:open="false" ma:isKeyword="false">
      <xsd:complexType>
        <xsd:sequence>
          <xsd:element ref="pc:Terms" minOccurs="0" maxOccurs="1"/>
        </xsd:sequence>
      </xsd:complexType>
    </xsd:element>
    <xsd:element name="DocumentStatus_0" ma:index="32" nillable="true" ma:taxonomy="true" ma:internalName="DocumentStatus_0" ma:taxonomyFieldName="DocumentStatus" ma:displayName="Document Status" ma:fieldId="{ee5cab93-ac4d-4e2f-b298-e5342324388c}" ma:sspId="5004ddca-ed1a-45fa-b2df-508b3c5dfc98" ma:termSetId="54b85ca4-9023-4cbf-8e96-81af7735228f" ma:anchorId="00000000-0000-0000-0000-000000000000" ma:open="false" ma:isKeyword="false">
      <xsd:complexType>
        <xsd:sequence>
          <xsd:element ref="pc:Terms" minOccurs="0" maxOccurs="1"/>
        </xsd:sequence>
      </xsd:complexType>
    </xsd:element>
    <xsd:element name="DocumentType_0" ma:index="35" nillable="true" ma:taxonomy="true" ma:internalName="DocumentType_0" ma:taxonomyFieldName="DocumentType" ma:displayName="Document Type" ma:indexed="true" ma:fieldId="{ee5cf431-2d10-41e6-bd88-1b6bd5b84f5f}" ma:sspId="5004ddca-ed1a-45fa-b2df-508b3c5dfc98" ma:termSetId="67a76952-94e0-437b-9a60-5085083dde02" ma:anchorId="00000000-0000-0000-0000-000000000000" ma:open="false" ma:isKeyword="false">
      <xsd:complexType>
        <xsd:sequence>
          <xsd:element ref="pc:Terms" minOccurs="0" maxOccurs="1"/>
        </xsd:sequence>
      </xsd:complexType>
    </xsd:element>
    <xsd:element name="MeetingName_0" ma:index="38" nillable="true" ma:taxonomy="true" ma:internalName="MeetingName_0" ma:taxonomyFieldName="MeetingName" ma:displayName="Meeting Name" ma:indexed="true" ma:fieldId="{ee5c9b55-8403-4f9e-a156-b6ce5b7b9456}" ma:sspId="5004ddca-ed1a-45fa-b2df-508b3c5dfc98" ma:termSetId="a04e9634-de73-4a41-8cb5-e1efdb89060c" ma:anchorId="00000000-0000-0000-0000-000000000000" ma:open="false" ma:isKeyword="false">
      <xsd:complexType>
        <xsd:sequence>
          <xsd:element ref="pc:Terms" minOccurs="0" maxOccurs="1"/>
        </xsd:sequence>
      </xsd:complexType>
    </xsd:element>
    <xsd:element name="AvailableTranslations_0" ma:index="40" nillable="true" ma:taxonomy="true" ma:internalName="AvailableTranslations_0" ma:taxonomyFieldName="AvailableTranslations" ma:displayName="Available Translations" ma:fieldId="{ee5c7c01-1a65-4138-aa64-80e01e34d799}" ma:taxonomyMulti="true" ma:sspId="5004ddca-ed1a-45fa-b2df-508b3c5dfc98" ma:termSetId="3e8d1f59-71f7-428c-bd68-e1e655ad5441" ma:anchorId="00000000-0000-0000-0000-000000000000" ma:open="false" ma:isKeyword="false">
      <xsd:complexType>
        <xsd:sequence>
          <xsd:element ref="pc:Terms" minOccurs="0" maxOccurs="1"/>
        </xsd:sequence>
      </xsd:complexType>
    </xsd:element>
    <xsd:element name="DossierName_0" ma:index="45" nillable="true" ma:taxonomy="true" ma:internalName="DossierName_0" ma:taxonomyFieldName="DossierName" ma:displayName="Dossier Name" ma:fieldId="{ee5cf7da-503b-4593-8db2-4f0e09c901fd}" ma:sspId="5004ddca-ed1a-45fa-b2df-508b3c5dfc98" ma:termSetId="2b392f04-1222-4352-87c1-6fd60ec33b64"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819524c-29f2-4026-988c-b363cca822d9" elementFormDefault="qualified">
    <xsd:import namespace="http://schemas.microsoft.com/office/2006/documentManagement/types"/>
    <xsd:import namespace="http://schemas.microsoft.com/office/infopath/2007/PartnerControls"/>
    <xsd:element name="MeetingNumber" ma:index="16" nillable="true" ma:displayName="Meeting Number" ma:decimals="0" ma:indexed="true" ma:internalName="MeetingNumber">
      <xsd:simpleType>
        <xsd:restriction base="dms:Unknown"/>
      </xsd:simpleType>
    </xsd:element>
    <xsd:element name="DocumentNumber" ma:index="25" nillable="true" ma:displayName="Document Number" ma:decimals="0" ma:indexed="true" ma:internalName="DocumentNumber">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7d640e6d-779c-472f-a269-6b546787f1c9">VP3JK3XSEPRV-1795132703-10789</_dlc_DocId>
    <_dlc_DocIdUrl xmlns="7d640e6d-779c-472f-a269-6b546787f1c9">
      <Url>http://dm/eesc/2026/_layouts/15/DocIdRedir.aspx?ID=VP3JK3XSEPRV-1795132703-10789</Url>
      <Description>VP3JK3XSEPRV-1795132703-10789</Description>
    </_dlc_DocIdUrl>
    <Procedure xmlns="7d640e6d-779c-472f-a269-6b546787f1c9">2026/0138(COD)</Procedure>
    <DocumentType_0 xmlns="http://schemas.microsoft.com/sharepoint/v3/fields">
      <Terms xmlns="http://schemas.microsoft.com/office/infopath/2007/PartnerControls">
        <TermInfo xmlns="http://schemas.microsoft.com/office/infopath/2007/PartnerControls">
          <TermName xmlns="http://schemas.microsoft.com/office/infopath/2007/PartnerControls">AC</TermName>
          <TermId xmlns="http://schemas.microsoft.com/office/infopath/2007/PartnerControls">a4cc1d15-fb08-4679-ad46-e4e0cba5fe92</TermId>
        </TermInfo>
      </Terms>
    </DocumentType_0>
    <DocumentSource_0 xmlns="http://schemas.microsoft.com/sharepoint/v3/fields">
      <Terms xmlns="http://schemas.microsoft.com/office/infopath/2007/PartnerControls">
        <TermInfo xmlns="http://schemas.microsoft.com/office/infopath/2007/PartnerControls">
          <TermName xmlns="http://schemas.microsoft.com/office/infopath/2007/PartnerControls">EESC</TermName>
          <TermId xmlns="http://schemas.microsoft.com/office/infopath/2007/PartnerControls">422833ec-8d7e-4e65-8e4e-8bed07ffb729</TermId>
        </TermInfo>
      </Terms>
    </DocumentSource_0>
    <ProductionDate xmlns="7d640e6d-779c-472f-a269-6b546787f1c9">2026-09-24T12:00:00+00:00</ProductionDate>
    <FicheYear xmlns="7d640e6d-779c-472f-a269-6b546787f1c9" xsi:nil="true"/>
    <DocumentNumber xmlns="1819524c-29f2-4026-988c-b363cca822d9">1043</DocumentNumber>
    <DossierNumber xmlns="7d640e6d-779c-472f-a269-6b546787f1c9">1126</DossierNumber>
    <Confidentiality_0 xmlns="http://schemas.microsoft.com/sharepoint/v3/fields">
      <Terms xmlns="http://schemas.microsoft.com/office/infopath/2007/PartnerControls">
        <TermInfo xmlns="http://schemas.microsoft.com/office/infopath/2007/PartnerControls">
          <TermName xmlns="http://schemas.microsoft.com/office/infopath/2007/PartnerControls">Unrestricted</TermName>
          <TermId xmlns="http://schemas.microsoft.com/office/infopath/2007/PartnerControls">826e22d7-d029-4ec0-a450-0c28ff673572</TermId>
        </TermInfo>
      </Terms>
    </Confidentiality_0>
    <MeetingDate xmlns="7d640e6d-779c-472f-a269-6b546787f1c9" xsi:nil="true"/>
    <TaxCatchAll xmlns="7d640e6d-779c-472f-a269-6b546787f1c9">
      <Value>34</Value>
      <Value>32</Value>
      <Value>29</Value>
      <Value>28</Value>
      <Value>63</Value>
      <Value>12</Value>
      <Value>19</Value>
      <Value>13</Value>
      <Value>46</Value>
      <Value>11</Value>
      <Value>9</Value>
      <Value>7</Value>
      <Value>80</Value>
      <Value>4</Value>
      <Value>1</Value>
      <Value>37</Value>
    </TaxCatchAll>
    <DocumentLanguage_0 xmlns="http://schemas.microsoft.com/sharepoint/v3/fields">
      <Terms xmlns="http://schemas.microsoft.com/office/infopath/2007/PartnerControls">
        <TermInfo xmlns="http://schemas.microsoft.com/office/infopath/2007/PartnerControls">
          <TermName xmlns="http://schemas.microsoft.com/office/infopath/2007/PartnerControls">EN</TermName>
          <TermId xmlns="http://schemas.microsoft.com/office/infopath/2007/PartnerControls">f2175f21-25d7-44a3-96da-d6a61b075e1b</TermId>
        </TermInfo>
      </Terms>
    </DocumentLanguage_0>
    <Rapporteur xmlns="7d640e6d-779c-472f-a269-6b546787f1c9">HAJNOŠ</Rapporteur>
    <VersionStatus_0 xmlns="http://schemas.microsoft.com/sharepoint/v3/fields">
      <Terms xmlns="http://schemas.microsoft.com/office/infopath/2007/PartnerControls">
        <TermInfo xmlns="http://schemas.microsoft.com/office/infopath/2007/PartnerControls">
          <TermName xmlns="http://schemas.microsoft.com/office/infopath/2007/PartnerControls">Final</TermName>
          <TermId xmlns="http://schemas.microsoft.com/office/infopath/2007/PartnerControls">ea5e6674-7b27-4bac-b091-73adbb394efe</TermId>
        </TermInfo>
      </Terms>
    </VersionStatus_0>
    <DocumentYear xmlns="7d640e6d-779c-472f-a269-6b546787f1c9">2026</DocumentYear>
    <FicheNumber xmlns="7d640e6d-779c-472f-a269-6b546787f1c9">307100</FicheNumber>
    <OriginalSender xmlns="7d640e6d-779c-472f-a269-6b546787f1c9">
      <UserInfo>
        <DisplayName>TDriveSVCUserProd</DisplayName>
        <AccountId>1262</AccountId>
        <AccountType/>
      </UserInfo>
    </OriginalSender>
    <DocumentPart xmlns="7d640e6d-779c-472f-a269-6b546787f1c9">0</DocumentPart>
    <AdoptionDate xmlns="7d640e6d-779c-472f-a269-6b546787f1c9">2026-09-23T12:00:00+00:00</AdoptionDate>
    <RequestingService xmlns="7d640e6d-779c-472f-a269-6b546787f1c9">Marché unique, production, consommation</RequestingService>
    <MeetingName_0 xmlns="http://schemas.microsoft.com/sharepoint/v3/fields">
      <Terms xmlns="http://schemas.microsoft.com/office/infopath/2007/PartnerControls"/>
    </MeetingName_0>
    <AvailableTranslations_0 xmlns="http://schemas.microsoft.com/sharepoint/v3/fields">
      <Terms xmlns="http://schemas.microsoft.com/office/infopath/2007/PartnerControls">
        <TermInfo xmlns="http://schemas.microsoft.com/office/infopath/2007/PartnerControls">
          <TermName xmlns="http://schemas.microsoft.com/office/infopath/2007/PartnerControls">DE</TermName>
          <TermId xmlns="http://schemas.microsoft.com/office/infopath/2007/PartnerControls">f6b31e5a-26fa-4935-b661-318e46daf27e</TermId>
        </TermInfo>
        <TermInfo xmlns="http://schemas.microsoft.com/office/infopath/2007/PartnerControls">
          <TermName xmlns="http://schemas.microsoft.com/office/infopath/2007/PartnerControls">DA</TermName>
          <TermId xmlns="http://schemas.microsoft.com/office/infopath/2007/PartnerControls">5d49c027-8956-412b-aa16-e85a0f96ad0e</TermId>
        </TermInfo>
        <TermInfo xmlns="http://schemas.microsoft.com/office/infopath/2007/PartnerControls">
          <TermName xmlns="http://schemas.microsoft.com/office/infopath/2007/PartnerControls">PT</TermName>
          <TermId xmlns="http://schemas.microsoft.com/office/infopath/2007/PartnerControls">50ccc04a-eadd-42ae-a0cb-acaf45f812ba</TermId>
        </TermInfo>
        <TermInfo xmlns="http://schemas.microsoft.com/office/infopath/2007/PartnerControls">
          <TermName xmlns="http://schemas.microsoft.com/office/infopath/2007/PartnerControls">PL</TermName>
          <TermId xmlns="http://schemas.microsoft.com/office/infopath/2007/PartnerControls">1e03da61-4678-4e07-b136-b5024ca9197b</TermId>
        </TermInfo>
        <TermInfo xmlns="http://schemas.microsoft.com/office/infopath/2007/PartnerControls">
          <TermName xmlns="http://schemas.microsoft.com/office/infopath/2007/PartnerControls">IT</TermName>
          <TermId xmlns="http://schemas.microsoft.com/office/infopath/2007/PartnerControls">0774613c-01ed-4e5d-a25d-11d2388de825</TermId>
        </TermInfo>
        <TermInfo xmlns="http://schemas.microsoft.com/office/infopath/2007/PartnerControls">
          <TermName xmlns="http://schemas.microsoft.com/office/infopath/2007/PartnerControls">HU</TermName>
          <TermId xmlns="http://schemas.microsoft.com/office/infopath/2007/PartnerControls">6b229040-c589-4408-b4c1-4285663d20a8</TermId>
        </TermInfo>
        <TermInfo xmlns="http://schemas.microsoft.com/office/infopath/2007/PartnerControls">
          <TermName xmlns="http://schemas.microsoft.com/office/infopath/2007/PartnerControls">ES</TermName>
          <TermId xmlns="http://schemas.microsoft.com/office/infopath/2007/PartnerControls">e7a6b05b-ae16-40c8-add9-68b64b03aeba</TermId>
        </TermInfo>
        <TermInfo xmlns="http://schemas.microsoft.com/office/infopath/2007/PartnerControls">
          <TermName xmlns="http://schemas.microsoft.com/office/infopath/2007/PartnerControls">EN</TermName>
          <TermId xmlns="http://schemas.microsoft.com/office/infopath/2007/PartnerControls">f2175f21-25d7-44a3-96da-d6a61b075e1b</TermId>
        </TermInfo>
        <TermInfo xmlns="http://schemas.microsoft.com/office/infopath/2007/PartnerControls">
          <TermName xmlns="http://schemas.microsoft.com/office/infopath/2007/PartnerControls">HR</TermName>
          <TermId xmlns="http://schemas.microsoft.com/office/infopath/2007/PartnerControls">2f555653-ed1a-4fe6-8362-9082d95989e5</TermId>
        </TermInfo>
        <TermInfo xmlns="http://schemas.microsoft.com/office/infopath/2007/PartnerControls">
          <TermName xmlns="http://schemas.microsoft.com/office/infopath/2007/PartnerControls">CS</TermName>
          <TermId xmlns="http://schemas.microsoft.com/office/infopath/2007/PartnerControls">72f9705b-0217-4fd3-bea2-cbc7ed80e26e</TermId>
        </TermInfo>
      </Terms>
    </AvailableTranslations_0>
    <DocumentStatus_0 xmlns="http://schemas.microsoft.com/sharepoint/v3/fields">
      <Terms xmlns="http://schemas.microsoft.com/office/infopath/2007/PartnerControls">
        <TermInfo xmlns="http://schemas.microsoft.com/office/infopath/2007/PartnerControls">
          <TermName xmlns="http://schemas.microsoft.com/office/infopath/2007/PartnerControls">TRA</TermName>
          <TermId xmlns="http://schemas.microsoft.com/office/infopath/2007/PartnerControls">150d2a88-1431-44e6-a8ca-0bb753ab8672</TermId>
        </TermInfo>
      </Terms>
    </DocumentStatus_0>
    <OriginalLanguage_0 xmlns="http://schemas.microsoft.com/sharepoint/v3/fields">
      <Terms xmlns="http://schemas.microsoft.com/office/infopath/2007/PartnerControls">
        <TermInfo xmlns="http://schemas.microsoft.com/office/infopath/2007/PartnerControls">
          <TermName xmlns="http://schemas.microsoft.com/office/infopath/2007/PartnerControls">EN</TermName>
          <TermId xmlns="http://schemas.microsoft.com/office/infopath/2007/PartnerControls">f2175f21-25d7-44a3-96da-d6a61b075e1b</TermId>
        </TermInfo>
      </Terms>
    </OriginalLanguage_0>
    <MeetingNumber xmlns="1819524c-29f2-4026-988c-b363cca822d9" xsi:nil="true"/>
    <DossierName_0 xmlns="http://schemas.microsoft.com/sharepoint/v3/fields">
      <Terms xmlns="http://schemas.microsoft.com/office/infopath/2007/PartnerControls">
        <TermInfo xmlns="http://schemas.microsoft.com/office/infopath/2007/PartnerControls">
          <TermName xmlns="http://schemas.microsoft.com/office/infopath/2007/PartnerControls">INT</TermName>
          <TermId xmlns="http://schemas.microsoft.com/office/infopath/2007/PartnerControls">e1edfecb-ed43-427b-bb02-d45fe6645386</TermId>
        </TermInfo>
      </Terms>
    </DossierName_0>
    <DocumentVersion xmlns="7d640e6d-779c-472f-a269-6b546787f1c9">0</DocumentVersion>
  </documentManagement>
</p:properties>
</file>

<file path=customXml/itemProps1.xml><?xml version="1.0" encoding="utf-8"?>
<ds:datastoreItem xmlns:ds="http://schemas.openxmlformats.org/officeDocument/2006/customXml" ds:itemID="{032F472B-4E33-4B92-84A3-0906EABCCDC1}"/>
</file>

<file path=customXml/itemProps2.xml><?xml version="1.0" encoding="utf-8"?>
<ds:datastoreItem xmlns:ds="http://schemas.openxmlformats.org/officeDocument/2006/customXml" ds:itemID="{D4A42E20-CDEB-4DF8-B9D8-53F7CFFBCB95}"/>
</file>

<file path=customXml/itemProps3.xml><?xml version="1.0" encoding="utf-8"?>
<ds:datastoreItem xmlns:ds="http://schemas.openxmlformats.org/officeDocument/2006/customXml" ds:itemID="{AB624CAE-06C0-4CED-8509-B28A820E146D}"/>
</file>

<file path=customXml/itemProps4.xml><?xml version="1.0" encoding="utf-8"?>
<ds:datastoreItem xmlns:ds="http://schemas.openxmlformats.org/officeDocument/2006/customXml" ds:itemID="{DE778422-D052-4B8C-9D37-0BC30326ED22}"/>
</file>

<file path=docMetadata/LabelInfo.xml><?xml version="1.0" encoding="utf-8"?>
<clbl:labelList xmlns:clbl="http://schemas.microsoft.com/office/2020/mipLabelMetadata">
  <clbl:label id="{40efc828-a9b4-45ec-a6c4-7b447404ac6b}" enabled="1" method="Standard" siteId="{01a4edc0-c130-4e09-bfd4-7b7de34700e6}"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2973</Words>
  <Characters>16951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EESC AC - Model</vt:lpstr>
    </vt:vector>
  </TitlesOfParts>
  <Company>CESE-CdR</Company>
  <LinksUpToDate>false</LinksUpToDate>
  <CharactersWithSpaces>19885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and AI Development Act</dc:title>
  <dc:subject>Committee opinion</dc:subject>
  <dc:creator>Francois Aude</dc:creator>
  <cp:keywords>EESC-2026-01043-00-00-AC-TRA-EN</cp:keywords>
  <dc:description>Rapporteur: - HAJNOŠ Original language: - EN Date of document: - 24/09/2026 Date of meeting: -  External documents: - COM(2026)502- final Administrator responsible: - MME VALANT Jana</dc:description>
  <cp:lastModifiedBy>TDriveSVCUserProd</cp:lastModifiedBy>
  <cp:revision>7</cp:revision>
  <dcterms:created xsi:type="dcterms:W3CDTF">2026-09-24T07:44:00Z</dcterms:created>
  <dcterms:modified xsi:type="dcterms:W3CDTF">2026-09-24T07:54:00Z</dcterms:modified>
  <cp:category>INT/1126</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f_formatted">
    <vt:bool>true</vt:bool>
  </property>
  <property fmtid="{D5CDD505-2E9C-101B-9397-08002B2CF9AE}" pid="3" name="Pref_Date">
    <vt:lpwstr>24/09/2026, 17/04/2024, 12/04/2024, 17/05/2022</vt:lpwstr>
  </property>
  <property fmtid="{D5CDD505-2E9C-101B-9397-08002B2CF9AE}" pid="4" name="Pref_Time">
    <vt:lpwstr>09:44:36, 09:47:22, 11:43:34, 14:58:36</vt:lpwstr>
  </property>
  <property fmtid="{D5CDD505-2E9C-101B-9397-08002B2CF9AE}" pid="5" name="Pref_User">
    <vt:lpwstr>pacup, enied, enied, enied</vt:lpwstr>
  </property>
  <property fmtid="{D5CDD505-2E9C-101B-9397-08002B2CF9AE}" pid="6" name="Pref_FileName">
    <vt:lpwstr>EESC-2026-01043-00-00-AC-TRA-EN-CRR.docx, COR-EESC-2024-01326-10-00-ADMIN-TRA-EN.docx, COR-EESC-2024-01326-10-00-ADMIN-ORI.docx, COR-EESC-2022-02592-00-00-ADMIN-ORI.docx</vt:lpwstr>
  </property>
  <property fmtid="{D5CDD505-2E9C-101B-9397-08002B2CF9AE}" pid="7" name="ContentTypeId">
    <vt:lpwstr>0x010100EA97B91038054C99906057A708A1480A008DB70E9ED1E50D4285F2944EED0BA178</vt:lpwstr>
  </property>
  <property fmtid="{D5CDD505-2E9C-101B-9397-08002B2CF9AE}" pid="8" name="_dlc_DocIdItemGuid">
    <vt:lpwstr>e79c4361-e814-4249-9fc1-bd23edb6309e</vt:lpwstr>
  </property>
  <property fmtid="{D5CDD505-2E9C-101B-9397-08002B2CF9AE}" pid="9" name="Procedure">
    <vt:lpwstr>2026/0138(COD)</vt:lpwstr>
  </property>
  <property fmtid="{D5CDD505-2E9C-101B-9397-08002B2CF9AE}" pid="10" name="AvailableTranslations">
    <vt:lpwstr>11;#DE|f6b31e5a-26fa-4935-b661-318e46daf27e;#46;#DA|5d49c027-8956-412b-aa16-e85a0f96ad0e;#28;#PT|50ccc04a-eadd-42ae-a0cb-acaf45f812ba;#32;#PL|1e03da61-4678-4e07-b136-b5024ca9197b;#13;#IT|0774613c-01ed-4e5d-a25d-11d2388de825;#37;#HU|6b229040-c589-4408-b4c1-4285663d20a8;#12;#ES|e7a6b05b-ae16-40c8-add9-68b64b03aeba;#4;#EN|f2175f21-25d7-44a3-96da-d6a61b075e1b;#34;#HR|2f555653-ed1a-4fe6-8362-9082d95989e5;#29;#CS|72f9705b-0217-4fd3-bea2-cbc7ed80e26e</vt:lpwstr>
  </property>
  <property fmtid="{D5CDD505-2E9C-101B-9397-08002B2CF9AE}" pid="11" name="DocumentType_0">
    <vt:lpwstr>AC|a4cc1d15-fb08-4679-ad46-e4e0cba5fe92</vt:lpwstr>
  </property>
  <property fmtid="{D5CDD505-2E9C-101B-9397-08002B2CF9AE}" pid="12" name="DossierName_0">
    <vt:lpwstr>INT|e1edfecb-ed43-427b-bb02-d45fe6645386</vt:lpwstr>
  </property>
  <property fmtid="{D5CDD505-2E9C-101B-9397-08002B2CF9AE}" pid="13" name="DocumentSource_0">
    <vt:lpwstr>EESC|422833ec-8d7e-4e65-8e4e-8bed07ffb729</vt:lpwstr>
  </property>
  <property fmtid="{D5CDD505-2E9C-101B-9397-08002B2CF9AE}" pid="14" name="DocumentNumber">
    <vt:i4>1043</vt:i4>
  </property>
  <property fmtid="{D5CDD505-2E9C-101B-9397-08002B2CF9AE}" pid="15" name="FicheYear">
    <vt:i4>2026</vt:i4>
  </property>
  <property fmtid="{D5CDD505-2E9C-101B-9397-08002B2CF9AE}" pid="16" name="DocumentVersion">
    <vt:i4>0</vt:i4>
  </property>
  <property fmtid="{D5CDD505-2E9C-101B-9397-08002B2CF9AE}" pid="17" name="DossierNumber">
    <vt:i4>1126</vt:i4>
  </property>
  <property fmtid="{D5CDD505-2E9C-101B-9397-08002B2CF9AE}" pid="18" name="DocumentStatus">
    <vt:lpwstr>9;#TRA|150d2a88-1431-44e6-a8ca-0bb753ab8672</vt:lpwstr>
  </property>
  <property fmtid="{D5CDD505-2E9C-101B-9397-08002B2CF9AE}" pid="19" name="DossierName">
    <vt:lpwstr>63;#INT|e1edfecb-ed43-427b-bb02-d45fe6645386</vt:lpwstr>
  </property>
  <property fmtid="{D5CDD505-2E9C-101B-9397-08002B2CF9AE}" pid="20" name="RequestingService">
    <vt:lpwstr>Marché unique, production, consommation</vt:lpwstr>
  </property>
  <property fmtid="{D5CDD505-2E9C-101B-9397-08002B2CF9AE}" pid="21" name="Confidentiality">
    <vt:lpwstr>19;#Unrestricted|826e22d7-d029-4ec0-a450-0c28ff673572</vt:lpwstr>
  </property>
  <property fmtid="{D5CDD505-2E9C-101B-9397-08002B2CF9AE}" pid="22" name="MeetingName_0">
    <vt:lpwstr/>
  </property>
  <property fmtid="{D5CDD505-2E9C-101B-9397-08002B2CF9AE}" pid="23" name="Confidentiality_0">
    <vt:lpwstr>Unrestricted|826e22d7-d029-4ec0-a450-0c28ff673572</vt:lpwstr>
  </property>
  <property fmtid="{D5CDD505-2E9C-101B-9397-08002B2CF9AE}" pid="24" name="OriginalLanguage">
    <vt:lpwstr>4;#EN|f2175f21-25d7-44a3-96da-d6a61b075e1b</vt:lpwstr>
  </property>
  <property fmtid="{D5CDD505-2E9C-101B-9397-08002B2CF9AE}" pid="25" name="MeetingName">
    <vt:lpwstr/>
  </property>
  <property fmtid="{D5CDD505-2E9C-101B-9397-08002B2CF9AE}" pid="27" name="AvailableTranslations_0">
    <vt:lpwstr/>
  </property>
  <property fmtid="{D5CDD505-2E9C-101B-9397-08002B2CF9AE}" pid="28" name="DocumentStatus_0">
    <vt:lpwstr>TRA|150d2a88-1431-44e6-a8ca-0bb753ab8672</vt:lpwstr>
  </property>
  <property fmtid="{D5CDD505-2E9C-101B-9397-08002B2CF9AE}" pid="29" name="OriginalLanguage_0">
    <vt:lpwstr>EN|f2175f21-25d7-44a3-96da-d6a61b075e1b</vt:lpwstr>
  </property>
  <property fmtid="{D5CDD505-2E9C-101B-9397-08002B2CF9AE}" pid="30" name="TaxCatchAll">
    <vt:lpwstr>80;#AC|a4cc1d15-fb08-4679-ad46-e4e0cba5fe92;#63;#INT|e1edfecb-ed43-427b-bb02-d45fe6645386;#9;#TRA|150d2a88-1431-44e6-a8ca-0bb753ab8672;#7;#Final|ea5e6674-7b27-4bac-b091-73adbb394efe;#4;#EN|f2175f21-25d7-44a3-96da-d6a61b075e1b;#19;#Unrestricted|826e22d7-d029-4ec0-a450-0c28ff673572;#1;#EESC|422833ec-8d7e-4e65-8e4e-8bed07ffb729</vt:lpwstr>
  </property>
  <property fmtid="{D5CDD505-2E9C-101B-9397-08002B2CF9AE}" pid="31" name="Rapporteur">
    <vt:lpwstr>HAJNOŠ</vt:lpwstr>
  </property>
  <property fmtid="{D5CDD505-2E9C-101B-9397-08002B2CF9AE}" pid="32" name="VersionStatus_0">
    <vt:lpwstr>Final|ea5e6674-7b27-4bac-b091-73adbb394efe</vt:lpwstr>
  </property>
  <property fmtid="{D5CDD505-2E9C-101B-9397-08002B2CF9AE}" pid="33" name="VersionStatus">
    <vt:lpwstr>7;#Final|ea5e6674-7b27-4bac-b091-73adbb394efe</vt:lpwstr>
  </property>
  <property fmtid="{D5CDD505-2E9C-101B-9397-08002B2CF9AE}" pid="34" name="DocumentYear">
    <vt:i4>2026</vt:i4>
  </property>
  <property fmtid="{D5CDD505-2E9C-101B-9397-08002B2CF9AE}" pid="35" name="FicheNumber">
    <vt:i4>8907</vt:i4>
  </property>
  <property fmtid="{D5CDD505-2E9C-101B-9397-08002B2CF9AE}" pid="36" name="DocumentPart">
    <vt:i4>0</vt:i4>
  </property>
  <property fmtid="{D5CDD505-2E9C-101B-9397-08002B2CF9AE}" pid="37" name="DocumentSource">
    <vt:lpwstr>1;#EESC|422833ec-8d7e-4e65-8e4e-8bed07ffb729</vt:lpwstr>
  </property>
  <property fmtid="{D5CDD505-2E9C-101B-9397-08002B2CF9AE}" pid="38" name="AdoptionDate">
    <vt:filetime>2026-09-23T12:00:00Z</vt:filetime>
  </property>
  <property fmtid="{D5CDD505-2E9C-101B-9397-08002B2CF9AE}" pid="39" name="DocumentType">
    <vt:lpwstr>80;#AC|a4cc1d15-fb08-4679-ad46-e4e0cba5fe92</vt:lpwstr>
  </property>
  <property fmtid="{D5CDD505-2E9C-101B-9397-08002B2CF9AE}" pid="40" name="DocumentLanguage">
    <vt:lpwstr>4;#EN|f2175f21-25d7-44a3-96da-d6a61b075e1b</vt:lpwstr>
  </property>
  <property fmtid="{D5CDD505-2E9C-101B-9397-08002B2CF9AE}" pid="41" name="_docset_NoMedatataSyncRequired">
    <vt:lpwstr>False</vt:lpwstr>
  </property>
</Properties>
</file>