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A441E" w14:textId="77777777" w:rsidR="00E27AD2" w:rsidRPr="006B18E4" w:rsidRDefault="00E27AD2" w:rsidP="00B84E58">
      <w:pPr>
        <w:shd w:val="clear" w:color="auto" w:fill="FFFFFF" w:themeFill="background1"/>
        <w:tabs>
          <w:tab w:val="left" w:pos="1260"/>
        </w:tabs>
        <w:jc w:val="center"/>
        <w:rPr>
          <w:b/>
          <w:sz w:val="32"/>
        </w:rPr>
      </w:pPr>
      <w:r w:rsidRPr="006B18E4">
        <w:rPr>
          <w:b/>
          <w:sz w:val="32"/>
        </w:rPr>
        <w:t>Instructions for Incorporating University Procedures into Departmental Revisions for the Evaluation of Instructional Non-Tenure Track Faculty in Continuous Employment</w:t>
      </w:r>
    </w:p>
    <w:p w14:paraId="0CA3F450" w14:textId="77777777" w:rsidR="00E27AD2" w:rsidRPr="006B18E4" w:rsidRDefault="00E27AD2" w:rsidP="009E7330">
      <w:pPr>
        <w:pBdr>
          <w:top w:val="single" w:sz="4" w:space="1" w:color="auto"/>
        </w:pBdr>
        <w:shd w:val="clear" w:color="auto" w:fill="FFFFFF" w:themeFill="background1"/>
        <w:tabs>
          <w:tab w:val="left" w:pos="1260"/>
          <w:tab w:val="left" w:pos="3030"/>
        </w:tabs>
        <w:jc w:val="center"/>
        <w:outlineLvl w:val="0"/>
        <w:rPr>
          <w:b/>
          <w:sz w:val="28"/>
        </w:rPr>
      </w:pPr>
      <w:r w:rsidRPr="006B18E4">
        <w:rPr>
          <w:b/>
          <w:sz w:val="28"/>
        </w:rPr>
        <w:t>Instructions for Academic Unit Chairs and Directors:</w:t>
      </w:r>
    </w:p>
    <w:p w14:paraId="08E06A7F" w14:textId="77777777" w:rsidR="00D36A7D" w:rsidRPr="006B18E4" w:rsidRDefault="00D36A7D" w:rsidP="00B84E58">
      <w:pPr>
        <w:shd w:val="clear" w:color="auto" w:fill="FFFFFF" w:themeFill="background1"/>
        <w:tabs>
          <w:tab w:val="left" w:pos="1260"/>
          <w:tab w:val="left" w:pos="3030"/>
        </w:tabs>
      </w:pPr>
      <w:r w:rsidRPr="00D36A7D">
        <w:rPr>
          <w:i/>
          <w:sz w:val="24"/>
        </w:rPr>
        <w:t xml:space="preserve">In accordance with Portland State University (PSU) Policies and Procedures for the Evaluation of Non-Tenure Track Faculty in continuous Employment at PSU, </w:t>
      </w:r>
      <w:r w:rsidRPr="00D36A7D">
        <w:rPr>
          <w:i/>
        </w:rPr>
        <w:t>dated</w:t>
      </w:r>
      <w:r w:rsidRPr="00D36A7D">
        <w:rPr>
          <w:i/>
          <w:sz w:val="24"/>
        </w:rPr>
        <w:t xml:space="preserve"> </w:t>
      </w:r>
      <w:r w:rsidR="008521B8" w:rsidRPr="00565C8F">
        <w:rPr>
          <w:b/>
          <w:i/>
          <w:sz w:val="24"/>
        </w:rPr>
        <w:t>May 1, 2017</w:t>
      </w:r>
      <w:r w:rsidRPr="00D36A7D">
        <w:rPr>
          <w:i/>
        </w:rPr>
        <w:t>, hereafter referred to as University NTTF Evaluation Procedures, you, in collaboration with your faculty, are</w:t>
      </w:r>
      <w:r w:rsidRPr="006B18E4">
        <w:t xml:space="preserve"> expected to </w:t>
      </w:r>
      <w:r w:rsidRPr="006B18E4">
        <w:rPr>
          <w:b/>
        </w:rPr>
        <w:t>add</w:t>
      </w:r>
      <w:r w:rsidRPr="006B18E4">
        <w:t xml:space="preserve"> </w:t>
      </w:r>
      <w:r w:rsidRPr="006B18E4">
        <w:rPr>
          <w:u w:val="single"/>
        </w:rPr>
        <w:t>a section about NTTF Evaluation</w:t>
      </w:r>
      <w:r>
        <w:rPr>
          <w:u w:val="single"/>
        </w:rPr>
        <w:t xml:space="preserve"> to</w:t>
      </w:r>
      <w:r w:rsidR="00BC2488">
        <w:rPr>
          <w:u w:val="single"/>
        </w:rPr>
        <w:t xml:space="preserve"> your department’s Promotion and T</w:t>
      </w:r>
      <w:r w:rsidR="009E7330">
        <w:rPr>
          <w:u w:val="single"/>
        </w:rPr>
        <w:t>enure (P&amp;T) G</w:t>
      </w:r>
      <w:r w:rsidRPr="006B18E4">
        <w:rPr>
          <w:u w:val="single"/>
        </w:rPr>
        <w:t>uidelines.</w:t>
      </w:r>
    </w:p>
    <w:p w14:paraId="24623DEA" w14:textId="77777777" w:rsidR="00E27AD2" w:rsidRPr="006B18E4" w:rsidRDefault="00E27AD2" w:rsidP="00B84E58">
      <w:pPr>
        <w:shd w:val="clear" w:color="auto" w:fill="FFFFFF" w:themeFill="background1"/>
        <w:tabs>
          <w:tab w:val="left" w:pos="1260"/>
          <w:tab w:val="left" w:pos="3030"/>
        </w:tabs>
        <w:rPr>
          <w:sz w:val="24"/>
        </w:rPr>
      </w:pPr>
      <w:r w:rsidRPr="006B18E4">
        <w:rPr>
          <w:sz w:val="24"/>
        </w:rPr>
        <w:t>Included below is:</w:t>
      </w:r>
    </w:p>
    <w:p w14:paraId="67EE0130" w14:textId="77777777" w:rsidR="00E27AD2" w:rsidRPr="006B18E4" w:rsidRDefault="00E27AD2" w:rsidP="00B84E58">
      <w:pPr>
        <w:pStyle w:val="ListParagraph"/>
        <w:numPr>
          <w:ilvl w:val="0"/>
          <w:numId w:val="1"/>
        </w:numPr>
        <w:shd w:val="clear" w:color="auto" w:fill="FFFFFF" w:themeFill="background1"/>
        <w:tabs>
          <w:tab w:val="left" w:pos="1260"/>
          <w:tab w:val="left" w:pos="3030"/>
        </w:tabs>
        <w:rPr>
          <w:sz w:val="24"/>
        </w:rPr>
      </w:pPr>
      <w:r w:rsidRPr="006B18E4">
        <w:rPr>
          <w:sz w:val="24"/>
        </w:rPr>
        <w:t>Informati</w:t>
      </w:r>
      <w:r w:rsidR="00216902" w:rsidRPr="006B18E4">
        <w:rPr>
          <w:sz w:val="24"/>
        </w:rPr>
        <w:t xml:space="preserve">on taken from the University Non-Tenure-Track </w:t>
      </w:r>
      <w:r w:rsidRPr="006B18E4">
        <w:rPr>
          <w:sz w:val="24"/>
        </w:rPr>
        <w:t>F</w:t>
      </w:r>
      <w:r w:rsidR="00216902" w:rsidRPr="006B18E4">
        <w:rPr>
          <w:sz w:val="24"/>
        </w:rPr>
        <w:t>aculty (NTTF)</w:t>
      </w:r>
      <w:r w:rsidRPr="006B18E4">
        <w:rPr>
          <w:sz w:val="24"/>
        </w:rPr>
        <w:t xml:space="preserve"> </w:t>
      </w:r>
      <w:r w:rsidR="00B84933" w:rsidRPr="006B18E4">
        <w:rPr>
          <w:sz w:val="24"/>
        </w:rPr>
        <w:t>Evaluation</w:t>
      </w:r>
      <w:r w:rsidRPr="006B18E4">
        <w:rPr>
          <w:sz w:val="24"/>
        </w:rPr>
        <w:t xml:space="preserve"> Procedures that you </w:t>
      </w:r>
      <w:r w:rsidRPr="006B18E4">
        <w:rPr>
          <w:b/>
          <w:sz w:val="24"/>
          <w:u w:val="single"/>
          <w:shd w:val="clear" w:color="auto" w:fill="FFFF00"/>
        </w:rPr>
        <w:t>may choose</w:t>
      </w:r>
      <w:r w:rsidRPr="006B18E4">
        <w:rPr>
          <w:sz w:val="24"/>
        </w:rPr>
        <w:t xml:space="preserve"> to include in your department guidelines</w:t>
      </w:r>
      <w:r w:rsidR="00002B34">
        <w:rPr>
          <w:sz w:val="24"/>
        </w:rPr>
        <w:t>.</w:t>
      </w:r>
    </w:p>
    <w:p w14:paraId="30B07DB5" w14:textId="77777777" w:rsidR="00E27AD2" w:rsidRPr="006B18E4" w:rsidRDefault="00E27AD2" w:rsidP="00B84E58">
      <w:pPr>
        <w:pStyle w:val="ListParagraph"/>
        <w:numPr>
          <w:ilvl w:val="0"/>
          <w:numId w:val="1"/>
        </w:numPr>
        <w:shd w:val="clear" w:color="auto" w:fill="FFFFFF" w:themeFill="background1"/>
        <w:tabs>
          <w:tab w:val="left" w:pos="1260"/>
          <w:tab w:val="left" w:pos="3030"/>
        </w:tabs>
        <w:rPr>
          <w:sz w:val="24"/>
        </w:rPr>
      </w:pPr>
      <w:r w:rsidRPr="006B18E4">
        <w:rPr>
          <w:sz w:val="24"/>
        </w:rPr>
        <w:t xml:space="preserve">Language </w:t>
      </w:r>
      <w:r w:rsidRPr="006B18E4">
        <w:rPr>
          <w:sz w:val="24"/>
          <w:shd w:val="clear" w:color="auto" w:fill="FFFFFF" w:themeFill="background1"/>
        </w:rPr>
        <w:t xml:space="preserve">that </w:t>
      </w:r>
      <w:r w:rsidRPr="006B18E4">
        <w:rPr>
          <w:b/>
          <w:i/>
          <w:sz w:val="24"/>
          <w:u w:val="single"/>
          <w:shd w:val="clear" w:color="auto" w:fill="C9F296" w:themeFill="accent3" w:themeFillTint="99"/>
        </w:rPr>
        <w:t>must be created</w:t>
      </w:r>
      <w:r w:rsidRPr="006B18E4">
        <w:rPr>
          <w:shd w:val="clear" w:color="auto" w:fill="FFFFFF" w:themeFill="background1"/>
        </w:rPr>
        <w:t xml:space="preserve"> by</w:t>
      </w:r>
      <w:r w:rsidRPr="006B18E4">
        <w:t xml:space="preserve"> the departmen</w:t>
      </w:r>
      <w:r w:rsidR="00216902" w:rsidRPr="006B18E4">
        <w:t xml:space="preserve">t and added to your department Promotion and Tenure (P&amp;T) </w:t>
      </w:r>
      <w:r w:rsidR="009E7330">
        <w:t>Guidelines</w:t>
      </w:r>
      <w:r w:rsidR="00216902" w:rsidRPr="006B18E4">
        <w:t xml:space="preserve"> as per the University NTTF Evaluation Procedures, as denoted by an action word in bold.</w:t>
      </w:r>
    </w:p>
    <w:p w14:paraId="7DD35879" w14:textId="77777777" w:rsidR="00B61535" w:rsidRPr="00B61535" w:rsidRDefault="00ED3E7A" w:rsidP="00B84E58">
      <w:pPr>
        <w:pStyle w:val="ListParagraph"/>
        <w:numPr>
          <w:ilvl w:val="0"/>
          <w:numId w:val="1"/>
        </w:numPr>
        <w:shd w:val="clear" w:color="auto" w:fill="FFFFFF" w:themeFill="background1"/>
        <w:tabs>
          <w:tab w:val="left" w:pos="1260"/>
          <w:tab w:val="left" w:pos="3030"/>
        </w:tabs>
        <w:rPr>
          <w:sz w:val="24"/>
        </w:rPr>
      </w:pPr>
      <w:r>
        <w:t>Language from</w:t>
      </w:r>
      <w:r w:rsidR="00216902" w:rsidRPr="006B18E4">
        <w:t xml:space="preserve"> the University NTTF Evaluation Procedures </w:t>
      </w:r>
      <w:r w:rsidR="009E7330">
        <w:t>that</w:t>
      </w:r>
      <w:r w:rsidR="00216902" w:rsidRPr="006B18E4">
        <w:t xml:space="preserve"> </w:t>
      </w:r>
      <w:r w:rsidR="00216902" w:rsidRPr="00F65ECD">
        <w:rPr>
          <w:b/>
          <w:u w:val="single"/>
          <w:shd w:val="clear" w:color="auto" w:fill="FF99FF"/>
        </w:rPr>
        <w:t>must be included</w:t>
      </w:r>
      <w:r w:rsidR="00216902" w:rsidRPr="006B18E4">
        <w:rPr>
          <w:u w:val="single"/>
        </w:rPr>
        <w:t xml:space="preserve"> </w:t>
      </w:r>
      <w:r w:rsidR="00216902" w:rsidRPr="006B18E4">
        <w:t xml:space="preserve">in your department P&amp;T </w:t>
      </w:r>
      <w:r w:rsidR="009E7330">
        <w:t>Guidelines</w:t>
      </w:r>
      <w:r w:rsidR="00216902" w:rsidRPr="006B18E4">
        <w:t xml:space="preserve">.  This language is provided </w:t>
      </w:r>
      <w:r>
        <w:t xml:space="preserve">for your use </w:t>
      </w:r>
      <w:r w:rsidR="00216902" w:rsidRPr="006B18E4">
        <w:t xml:space="preserve">and cannot be changed.  </w:t>
      </w:r>
    </w:p>
    <w:p w14:paraId="2FF6245A" w14:textId="77777777" w:rsidR="00216902" w:rsidRPr="00B61535" w:rsidRDefault="00B61535" w:rsidP="00B61535">
      <w:pPr>
        <w:pStyle w:val="ListParagraph"/>
        <w:numPr>
          <w:ilvl w:val="0"/>
          <w:numId w:val="1"/>
        </w:numPr>
        <w:shd w:val="clear" w:color="auto" w:fill="FFFFFF" w:themeFill="background1"/>
        <w:tabs>
          <w:tab w:val="left" w:pos="1260"/>
          <w:tab w:val="left" w:pos="3030"/>
        </w:tabs>
        <w:rPr>
          <w:sz w:val="24"/>
        </w:rPr>
      </w:pPr>
      <w:r>
        <w:t xml:space="preserve">NOTE:  </w:t>
      </w:r>
      <w:r w:rsidR="00216902" w:rsidRPr="006B18E4">
        <w:t>All section heading from University NTTF Evaluation Procedures should</w:t>
      </w:r>
      <w:r>
        <w:t xml:space="preserve"> also</w:t>
      </w:r>
      <w:r w:rsidR="00216902" w:rsidRPr="006B18E4">
        <w:t xml:space="preserve"> be used in departmental guidelines.  </w:t>
      </w:r>
    </w:p>
    <w:p w14:paraId="10DD570E" w14:textId="77777777" w:rsidR="00D36A7D" w:rsidRDefault="00D36A7D" w:rsidP="00B84E58">
      <w:pPr>
        <w:pBdr>
          <w:top w:val="single" w:sz="4" w:space="1" w:color="auto"/>
        </w:pBdr>
        <w:shd w:val="clear" w:color="auto" w:fill="FFFFFF" w:themeFill="background1"/>
        <w:tabs>
          <w:tab w:val="left" w:pos="1260"/>
          <w:tab w:val="left" w:pos="3030"/>
        </w:tabs>
        <w:rPr>
          <w:b/>
          <w:sz w:val="24"/>
          <w:u w:val="single"/>
        </w:rPr>
      </w:pPr>
    </w:p>
    <w:p w14:paraId="16617D12" w14:textId="77777777" w:rsidR="00B61535" w:rsidRPr="00B61535" w:rsidRDefault="00B61535" w:rsidP="00B84E58">
      <w:pPr>
        <w:pBdr>
          <w:top w:val="single" w:sz="4" w:space="1" w:color="auto"/>
        </w:pBdr>
        <w:shd w:val="clear" w:color="auto" w:fill="FFFFFF" w:themeFill="background1"/>
        <w:tabs>
          <w:tab w:val="left" w:pos="1260"/>
          <w:tab w:val="left" w:pos="3030"/>
        </w:tabs>
        <w:rPr>
          <w:b/>
          <w:sz w:val="28"/>
        </w:rPr>
      </w:pPr>
      <w:r w:rsidRPr="00B61535">
        <w:rPr>
          <w:b/>
          <w:sz w:val="28"/>
        </w:rPr>
        <w:t>Introduction:</w:t>
      </w:r>
    </w:p>
    <w:p w14:paraId="3507CBDE" w14:textId="77777777" w:rsidR="00D36A7D" w:rsidRDefault="00B56D51" w:rsidP="00B84E58">
      <w:pPr>
        <w:shd w:val="clear" w:color="auto" w:fill="FF99FF"/>
        <w:tabs>
          <w:tab w:val="left" w:pos="720"/>
          <w:tab w:val="left" w:pos="810"/>
          <w:tab w:val="left" w:pos="1260"/>
          <w:tab w:val="left" w:pos="3030"/>
        </w:tabs>
      </w:pPr>
      <w:r w:rsidRPr="00D36A7D">
        <w:t>The</w:t>
      </w:r>
      <w:r w:rsidR="00216902" w:rsidRPr="00D36A7D">
        <w:t xml:space="preserve"> </w:t>
      </w:r>
      <w:r w:rsidR="00F65ECD" w:rsidRPr="00D36A7D">
        <w:t>following</w:t>
      </w:r>
      <w:r w:rsidR="00216902" w:rsidRPr="00D36A7D">
        <w:t xml:space="preserve"> describes the process through which </w:t>
      </w:r>
      <w:r w:rsidR="007C7CFF" w:rsidRPr="00D36A7D">
        <w:t xml:space="preserve">eligible non-tenure-track (NTT), instructional faculty may be considered for continuous employment.  </w:t>
      </w:r>
      <w:r w:rsidR="00B84933" w:rsidRPr="00D36A7D">
        <w:t>It</w:t>
      </w:r>
      <w:r w:rsidR="007C7CFF" w:rsidRPr="00D36A7D">
        <w:t xml:space="preserve"> covers NTTF hired after September 16, 2016.  </w:t>
      </w:r>
    </w:p>
    <w:p w14:paraId="0724E38F" w14:textId="77777777" w:rsidR="00D36A7D" w:rsidRPr="00D36A7D" w:rsidRDefault="007C7CFF" w:rsidP="00B84E58">
      <w:pPr>
        <w:shd w:val="clear" w:color="auto" w:fill="FF99FF"/>
        <w:tabs>
          <w:tab w:val="left" w:pos="720"/>
          <w:tab w:val="left" w:pos="810"/>
          <w:tab w:val="left" w:pos="1260"/>
          <w:tab w:val="left" w:pos="3030"/>
        </w:tabs>
      </w:pPr>
      <w:r w:rsidRPr="00D36A7D">
        <w:t>For NTT instructional faculty hired prior to this date, see also the Implementation Plan</w:t>
      </w:r>
      <w:r w:rsidR="00D36A7D">
        <w:t xml:space="preserve">, </w:t>
      </w:r>
      <w:r w:rsidR="00D36A7D" w:rsidRPr="00D36A7D">
        <w:t xml:space="preserve">University </w:t>
      </w:r>
      <w:r w:rsidR="00D36A7D">
        <w:t xml:space="preserve">NTTF Evaluation Procedures, </w:t>
      </w:r>
      <w:r w:rsidR="00D36A7D" w:rsidRPr="00D36A7D">
        <w:t xml:space="preserve">AAUP CBA, </w:t>
      </w:r>
      <w:r w:rsidR="00D36A7D">
        <w:t>Letter of Agreement (LOA) #12, pages 81-82.</w:t>
      </w:r>
    </w:p>
    <w:p w14:paraId="2D3AAB9C" w14:textId="77777777" w:rsidR="00216902" w:rsidRDefault="00216902" w:rsidP="00B84E58">
      <w:pPr>
        <w:shd w:val="clear" w:color="auto" w:fill="FFFFFF" w:themeFill="background1"/>
        <w:tabs>
          <w:tab w:val="left" w:pos="1260"/>
          <w:tab w:val="left" w:pos="3030"/>
        </w:tabs>
      </w:pPr>
    </w:p>
    <w:p w14:paraId="3ED63E2A" w14:textId="77777777" w:rsidR="00B61535" w:rsidRPr="00B61535" w:rsidRDefault="00B61535" w:rsidP="008521B8">
      <w:pPr>
        <w:tabs>
          <w:tab w:val="left" w:pos="720"/>
          <w:tab w:val="left" w:pos="810"/>
          <w:tab w:val="left" w:pos="1260"/>
          <w:tab w:val="left" w:pos="3030"/>
        </w:tabs>
      </w:pPr>
      <w:r w:rsidRPr="008521B8">
        <w:rPr>
          <w:shd w:val="clear" w:color="auto" w:fill="FF99FF"/>
        </w:rPr>
        <w:t xml:space="preserve">The University NTTF Evaluation Procedures take </w:t>
      </w:r>
      <w:r w:rsidRPr="008521B8">
        <w:rPr>
          <w:shd w:val="clear" w:color="auto" w:fill="FF99FF"/>
        </w:rPr>
        <w:t>priority</w:t>
      </w:r>
      <w:r w:rsidR="00976B49">
        <w:rPr>
          <w:shd w:val="clear" w:color="auto" w:fill="FF99FF"/>
        </w:rPr>
        <w:t>,</w:t>
      </w:r>
      <w:r w:rsidRPr="008521B8">
        <w:rPr>
          <w:shd w:val="clear" w:color="auto" w:fill="FF99FF"/>
        </w:rPr>
        <w:t xml:space="preserve"> and </w:t>
      </w:r>
      <w:r w:rsidRPr="008521B8">
        <w:rPr>
          <w:shd w:val="clear" w:color="auto" w:fill="FF99FF"/>
        </w:rPr>
        <w:t>additions or modifications within your departmental guidelines may not contradict those approved by the Faculty Senate.</w:t>
      </w:r>
      <w:r w:rsidRPr="00B61535">
        <w:t xml:space="preserve">  Updates </w:t>
      </w:r>
      <w:r w:rsidRPr="006F531E">
        <w:t xml:space="preserve">to </w:t>
      </w:r>
      <w:r w:rsidR="008521B8" w:rsidRPr="006F531E">
        <w:t xml:space="preserve">these </w:t>
      </w:r>
      <w:r w:rsidRPr="006F531E">
        <w:t xml:space="preserve">NTTF Evaluation guidelines must be approved by </w:t>
      </w:r>
      <w:r w:rsidR="008521B8" w:rsidRPr="006F531E">
        <w:t xml:space="preserve">the </w:t>
      </w:r>
      <w:r w:rsidRPr="006F531E">
        <w:t>dean and submitted to the Office of Academic</w:t>
      </w:r>
      <w:r w:rsidRPr="00B61535">
        <w:t xml:space="preserve"> Affairs </w:t>
      </w:r>
      <w:r w:rsidR="006F531E">
        <w:t>for review and final approval</w:t>
      </w:r>
      <w:r w:rsidRPr="00B61535">
        <w:t>.</w:t>
      </w:r>
    </w:p>
    <w:p w14:paraId="3C1B9777" w14:textId="77777777" w:rsidR="00B61535" w:rsidRPr="006B18E4" w:rsidRDefault="00B61535" w:rsidP="00B84E58">
      <w:pPr>
        <w:shd w:val="clear" w:color="auto" w:fill="FFFFFF" w:themeFill="background1"/>
        <w:tabs>
          <w:tab w:val="left" w:pos="1260"/>
          <w:tab w:val="left" w:pos="3030"/>
        </w:tabs>
      </w:pPr>
    </w:p>
    <w:p w14:paraId="098E91A4" w14:textId="77777777" w:rsidR="00D36A7D" w:rsidRDefault="00D36A7D" w:rsidP="00B84E58">
      <w:pPr>
        <w:tabs>
          <w:tab w:val="left" w:pos="1260"/>
        </w:tabs>
      </w:pPr>
      <w:r>
        <w:br w:type="page"/>
      </w:r>
    </w:p>
    <w:p w14:paraId="3D75F926" w14:textId="77777777" w:rsidR="007C7CFF" w:rsidRPr="006B18E4" w:rsidRDefault="007C7CFF" w:rsidP="009E7330">
      <w:pPr>
        <w:shd w:val="clear" w:color="auto" w:fill="FFFFFF" w:themeFill="background1"/>
        <w:tabs>
          <w:tab w:val="left" w:pos="1260"/>
          <w:tab w:val="left" w:pos="3030"/>
        </w:tabs>
        <w:jc w:val="center"/>
        <w:outlineLvl w:val="0"/>
        <w:rPr>
          <w:sz w:val="32"/>
          <w:szCs w:val="32"/>
        </w:rPr>
      </w:pPr>
      <w:r w:rsidRPr="006B18E4">
        <w:rPr>
          <w:sz w:val="32"/>
          <w:szCs w:val="32"/>
        </w:rPr>
        <w:lastRenderedPageBreak/>
        <w:t xml:space="preserve">Revisions to </w:t>
      </w:r>
      <w:r w:rsidRPr="006B18E4">
        <w:rPr>
          <w:b/>
          <w:sz w:val="32"/>
          <w:szCs w:val="32"/>
          <w:shd w:val="clear" w:color="auto" w:fill="C9F296" w:themeFill="accent3" w:themeFillTint="99"/>
        </w:rPr>
        <w:t>Departmental Name</w:t>
      </w:r>
      <w:r w:rsidRPr="006B18E4">
        <w:rPr>
          <w:sz w:val="32"/>
          <w:szCs w:val="32"/>
        </w:rPr>
        <w:t xml:space="preserve"> </w:t>
      </w:r>
      <w:r w:rsidR="00791E98" w:rsidRPr="006B18E4">
        <w:rPr>
          <w:sz w:val="32"/>
          <w:szCs w:val="32"/>
        </w:rPr>
        <w:t>NTTF Guidelines</w:t>
      </w:r>
    </w:p>
    <w:p w14:paraId="71E405F6" w14:textId="77777777" w:rsidR="002E6027" w:rsidRDefault="002E6027" w:rsidP="006F531E">
      <w:pPr>
        <w:tabs>
          <w:tab w:val="left" w:pos="720"/>
          <w:tab w:val="left" w:pos="810"/>
          <w:tab w:val="left" w:pos="1260"/>
          <w:tab w:val="left" w:pos="3030"/>
        </w:tabs>
        <w:outlineLvl w:val="0"/>
        <w:rPr>
          <w:b/>
          <w:sz w:val="24"/>
          <w:szCs w:val="28"/>
        </w:rPr>
      </w:pPr>
      <w:r w:rsidRPr="00B017FC">
        <w:rPr>
          <w:b/>
          <w:sz w:val="24"/>
          <w:szCs w:val="28"/>
        </w:rPr>
        <w:t>Non-tenure Track Instructional Positions – Continuous Appointment-Related Evaluations</w:t>
      </w:r>
    </w:p>
    <w:p w14:paraId="53C5A26E" w14:textId="77777777" w:rsidR="002E6027" w:rsidRPr="00B017FC" w:rsidRDefault="002E6027" w:rsidP="006F531E">
      <w:pPr>
        <w:tabs>
          <w:tab w:val="left" w:pos="720"/>
          <w:tab w:val="left" w:pos="810"/>
          <w:tab w:val="left" w:pos="1260"/>
          <w:tab w:val="left" w:pos="3030"/>
        </w:tabs>
        <w:outlineLvl w:val="0"/>
        <w:rPr>
          <w:sz w:val="24"/>
          <w:szCs w:val="28"/>
        </w:rPr>
      </w:pPr>
      <w:r w:rsidRPr="006F531E">
        <w:rPr>
          <w:sz w:val="24"/>
          <w:szCs w:val="28"/>
          <w:shd w:val="clear" w:color="auto" w:fill="FF99FF"/>
        </w:rPr>
        <w:t>This section describes the process through which eligible non-tenure track (NTT) instructional faculty may be considered for continuous appointment, and are evaluated. This document covers NTTF hired after September 16, 2016. For NTT instructional faculty hired prior to this date, see also the Implementation Plan.</w:t>
      </w:r>
      <w:r w:rsidR="00E4628A">
        <w:rPr>
          <w:sz w:val="24"/>
          <w:szCs w:val="28"/>
        </w:rPr>
        <w:t xml:space="preserve"> Refer to University </w:t>
      </w:r>
      <w:r w:rsidR="006F531E">
        <w:rPr>
          <w:sz w:val="24"/>
          <w:szCs w:val="28"/>
        </w:rPr>
        <w:t>P&amp;T Guidelines, Non-Tenure Track Instructional Positions – Continuous Appointment-Related Evaluations.</w:t>
      </w:r>
    </w:p>
    <w:p w14:paraId="5FF53DBC" w14:textId="77777777" w:rsidR="007C7CFF" w:rsidRPr="00B017FC" w:rsidRDefault="00E00C68" w:rsidP="009E7330">
      <w:pPr>
        <w:shd w:val="clear" w:color="auto" w:fill="FFFFFF" w:themeFill="background1"/>
        <w:tabs>
          <w:tab w:val="left" w:pos="720"/>
          <w:tab w:val="left" w:pos="810"/>
          <w:tab w:val="left" w:pos="1260"/>
          <w:tab w:val="left" w:pos="3030"/>
        </w:tabs>
        <w:outlineLvl w:val="0"/>
        <w:rPr>
          <w:b/>
          <w:sz w:val="24"/>
          <w:szCs w:val="28"/>
        </w:rPr>
      </w:pPr>
      <w:r>
        <w:rPr>
          <w:b/>
          <w:sz w:val="24"/>
          <w:szCs w:val="28"/>
        </w:rPr>
        <w:tab/>
      </w:r>
      <w:r w:rsidR="007C7CFF" w:rsidRPr="00B017FC">
        <w:rPr>
          <w:b/>
          <w:sz w:val="24"/>
          <w:szCs w:val="28"/>
        </w:rPr>
        <w:t>A.</w:t>
      </w:r>
      <w:r>
        <w:rPr>
          <w:b/>
          <w:sz w:val="24"/>
          <w:szCs w:val="28"/>
        </w:rPr>
        <w:t xml:space="preserve"> </w:t>
      </w:r>
      <w:r w:rsidR="007C7CFF" w:rsidRPr="00B017FC">
        <w:rPr>
          <w:b/>
          <w:sz w:val="24"/>
          <w:szCs w:val="28"/>
        </w:rPr>
        <w:t xml:space="preserve">Departmental </w:t>
      </w:r>
      <w:r w:rsidR="007C7CFF" w:rsidRPr="00B017FC">
        <w:rPr>
          <w:b/>
          <w:sz w:val="24"/>
          <w:szCs w:val="28"/>
        </w:rPr>
        <w:t>Authority and Responsibility</w:t>
      </w:r>
    </w:p>
    <w:p w14:paraId="5E4E4517" w14:textId="77777777" w:rsidR="007C440B" w:rsidRDefault="007C7CFF" w:rsidP="00B84E58">
      <w:pPr>
        <w:shd w:val="clear" w:color="auto" w:fill="FFFFFF" w:themeFill="background1"/>
        <w:tabs>
          <w:tab w:val="left" w:pos="720"/>
          <w:tab w:val="left" w:pos="810"/>
          <w:tab w:val="left" w:pos="1260"/>
          <w:tab w:val="left" w:pos="3030"/>
        </w:tabs>
        <w:ind w:left="720"/>
        <w:rPr>
          <w:sz w:val="24"/>
          <w:szCs w:val="28"/>
          <w:shd w:val="clear" w:color="auto" w:fill="FF99FF"/>
        </w:rPr>
      </w:pPr>
      <w:r w:rsidRPr="00B56D51">
        <w:rPr>
          <w:sz w:val="24"/>
          <w:szCs w:val="28"/>
          <w:shd w:val="clear" w:color="auto" w:fill="FF99FF"/>
        </w:rPr>
        <w:t>The responsibility for evaluating and documenting an individual faculty member’s performance rests primarily with the department.</w:t>
      </w:r>
    </w:p>
    <w:p w14:paraId="7BBD5D7E" w14:textId="77777777" w:rsidR="007C7CFF" w:rsidRPr="006B18E4" w:rsidRDefault="007C440B" w:rsidP="00F624E9">
      <w:pPr>
        <w:tabs>
          <w:tab w:val="left" w:pos="720"/>
          <w:tab w:val="left" w:pos="810"/>
          <w:tab w:val="left" w:pos="1260"/>
          <w:tab w:val="left" w:pos="3030"/>
        </w:tabs>
        <w:ind w:left="720"/>
        <w:rPr>
          <w:sz w:val="24"/>
          <w:szCs w:val="28"/>
        </w:rPr>
      </w:pPr>
      <w:r w:rsidRPr="006F531E">
        <w:rPr>
          <w:sz w:val="24"/>
          <w:szCs w:val="28"/>
          <w:shd w:val="clear" w:color="auto" w:fill="C9F296" w:themeFill="accent3" w:themeFillTint="99"/>
        </w:rPr>
        <w:t>Add language that describes the department process.</w:t>
      </w:r>
      <w:r w:rsidR="007C7CFF" w:rsidRPr="00B56D51">
        <w:rPr>
          <w:sz w:val="24"/>
          <w:szCs w:val="28"/>
          <w:shd w:val="clear" w:color="auto" w:fill="FF99FF"/>
        </w:rPr>
        <w:t xml:space="preserve">  </w:t>
      </w:r>
    </w:p>
    <w:p w14:paraId="2AB89852" w14:textId="77777777" w:rsidR="00B84933" w:rsidRPr="006B18E4" w:rsidRDefault="00B84933" w:rsidP="00B84E58">
      <w:pPr>
        <w:shd w:val="clear" w:color="auto" w:fill="FFFFFF" w:themeFill="background1"/>
        <w:tabs>
          <w:tab w:val="left" w:pos="720"/>
          <w:tab w:val="left" w:pos="810"/>
          <w:tab w:val="left" w:pos="1260"/>
          <w:tab w:val="left" w:pos="3030"/>
        </w:tabs>
        <w:ind w:left="720"/>
        <w:rPr>
          <w:sz w:val="24"/>
        </w:rPr>
      </w:pPr>
      <w:r w:rsidRPr="006F531E">
        <w:rPr>
          <w:sz w:val="24"/>
        </w:rPr>
        <w:t xml:space="preserve">Refer to </w:t>
      </w:r>
      <w:r w:rsidRPr="006F531E">
        <w:rPr>
          <w:sz w:val="24"/>
        </w:rPr>
        <w:t xml:space="preserve">University </w:t>
      </w:r>
      <w:r w:rsidR="006F31BB">
        <w:rPr>
          <w:sz w:val="24"/>
        </w:rPr>
        <w:t>P&amp;T Guidelines, Non-Tenure Track Instructional Positions- Continuous Appointment Related Evaluations, Section A</w:t>
      </w:r>
      <w:r w:rsidR="00E00C68" w:rsidRPr="006F531E">
        <w:rPr>
          <w:sz w:val="24"/>
        </w:rPr>
        <w:t xml:space="preserve"> and </w:t>
      </w:r>
      <w:r w:rsidRPr="006F531E">
        <w:rPr>
          <w:sz w:val="24"/>
        </w:rPr>
        <w:t xml:space="preserve">AAUP CBA, Article 18, </w:t>
      </w:r>
      <w:r w:rsidR="00DC51CB" w:rsidRPr="006F531E">
        <w:rPr>
          <w:sz w:val="24"/>
        </w:rPr>
        <w:t>Sect.</w:t>
      </w:r>
      <w:r w:rsidR="00D36A7D" w:rsidRPr="006F531E">
        <w:rPr>
          <w:sz w:val="24"/>
        </w:rPr>
        <w:t xml:space="preserve"> </w:t>
      </w:r>
      <w:r w:rsidR="00853742" w:rsidRPr="006F531E">
        <w:rPr>
          <w:sz w:val="24"/>
        </w:rPr>
        <w:t>6</w:t>
      </w:r>
      <w:r w:rsidR="00D36A7D" w:rsidRPr="006F531E">
        <w:rPr>
          <w:sz w:val="24"/>
        </w:rPr>
        <w:t xml:space="preserve">, </w:t>
      </w:r>
      <w:r w:rsidR="00593885" w:rsidRPr="006F531E">
        <w:rPr>
          <w:sz w:val="24"/>
        </w:rPr>
        <w:t>(</w:t>
      </w:r>
      <w:r w:rsidR="00D36A7D" w:rsidRPr="006F531E">
        <w:rPr>
          <w:sz w:val="24"/>
        </w:rPr>
        <w:t>pgs</w:t>
      </w:r>
      <w:r w:rsidR="00593885" w:rsidRPr="006F531E">
        <w:rPr>
          <w:sz w:val="24"/>
        </w:rPr>
        <w:t>.</w:t>
      </w:r>
      <w:r w:rsidR="00D36A7D" w:rsidRPr="006F531E">
        <w:rPr>
          <w:sz w:val="24"/>
        </w:rPr>
        <w:t xml:space="preserve"> 2</w:t>
      </w:r>
      <w:r w:rsidR="00853742" w:rsidRPr="006F531E">
        <w:rPr>
          <w:sz w:val="24"/>
        </w:rPr>
        <w:t>6</w:t>
      </w:r>
      <w:r w:rsidR="00D36A7D" w:rsidRPr="006F531E">
        <w:rPr>
          <w:sz w:val="24"/>
        </w:rPr>
        <w:t>-2</w:t>
      </w:r>
      <w:r w:rsidR="00853742" w:rsidRPr="006F531E">
        <w:rPr>
          <w:sz w:val="24"/>
        </w:rPr>
        <w:t>7</w:t>
      </w:r>
      <w:r w:rsidR="00593885" w:rsidRPr="006F531E">
        <w:rPr>
          <w:sz w:val="24"/>
        </w:rPr>
        <w:t>)</w:t>
      </w:r>
      <w:r w:rsidR="00D36A7D" w:rsidRPr="006F531E">
        <w:rPr>
          <w:sz w:val="24"/>
        </w:rPr>
        <w:t xml:space="preserve"> for a description of the approval process following the development of </w:t>
      </w:r>
      <w:r w:rsidR="00D36A7D" w:rsidRPr="006F531E">
        <w:rPr>
          <w:sz w:val="24"/>
        </w:rPr>
        <w:t>departmental procedures</w:t>
      </w:r>
      <w:r w:rsidR="00D36A7D">
        <w:rPr>
          <w:sz w:val="24"/>
        </w:rPr>
        <w:t>.</w:t>
      </w:r>
      <w:r w:rsidR="00293BFB" w:rsidRPr="006B18E4">
        <w:rPr>
          <w:sz w:val="24"/>
        </w:rPr>
        <w:t xml:space="preserve">                                                                                                                                                                                                                                                                                                                                                                                                                                                                                                                                                                                                                                                                                                                                                                                                                                                                                                                                                                                                                                                                                                                                                                                                                                                          </w:t>
      </w:r>
    </w:p>
    <w:p w14:paraId="06B84AD9" w14:textId="77777777" w:rsidR="00AE5C64" w:rsidRPr="00B017FC" w:rsidRDefault="00654F37" w:rsidP="009E7330">
      <w:pPr>
        <w:shd w:val="clear" w:color="auto" w:fill="FFFFFF" w:themeFill="background1"/>
        <w:tabs>
          <w:tab w:val="left" w:pos="720"/>
          <w:tab w:val="left" w:pos="810"/>
          <w:tab w:val="left" w:pos="1260"/>
          <w:tab w:val="left" w:pos="3030"/>
        </w:tabs>
        <w:outlineLvl w:val="0"/>
        <w:rPr>
          <w:sz w:val="20"/>
        </w:rPr>
      </w:pPr>
      <w:r>
        <w:rPr>
          <w:b/>
          <w:sz w:val="24"/>
          <w:szCs w:val="28"/>
        </w:rPr>
        <w:tab/>
      </w:r>
      <w:r w:rsidR="00AE5C64" w:rsidRPr="00B017FC">
        <w:rPr>
          <w:b/>
          <w:sz w:val="24"/>
          <w:szCs w:val="28"/>
        </w:rPr>
        <w:t>B.</w:t>
      </w:r>
      <w:r>
        <w:rPr>
          <w:b/>
          <w:sz w:val="24"/>
          <w:szCs w:val="28"/>
        </w:rPr>
        <w:t xml:space="preserve"> </w:t>
      </w:r>
      <w:r w:rsidR="00AE5C64" w:rsidRPr="00B017FC">
        <w:rPr>
          <w:b/>
          <w:sz w:val="24"/>
          <w:szCs w:val="28"/>
        </w:rPr>
        <w:t xml:space="preserve">Initial </w:t>
      </w:r>
      <w:r w:rsidR="00AE5C64" w:rsidRPr="00B017FC">
        <w:rPr>
          <w:b/>
          <w:sz w:val="24"/>
          <w:szCs w:val="28"/>
        </w:rPr>
        <w:t>Appointment</w:t>
      </w:r>
    </w:p>
    <w:p w14:paraId="671C1E21" w14:textId="77777777" w:rsidR="00AE5C64" w:rsidRPr="006B18E4" w:rsidRDefault="00AE5C64" w:rsidP="00B84E58">
      <w:pPr>
        <w:shd w:val="clear" w:color="auto" w:fill="FFFFFF" w:themeFill="background1"/>
        <w:tabs>
          <w:tab w:val="left" w:pos="720"/>
          <w:tab w:val="left" w:pos="810"/>
          <w:tab w:val="left" w:pos="1260"/>
          <w:tab w:val="left" w:pos="3030"/>
        </w:tabs>
        <w:ind w:left="720"/>
        <w:rPr>
          <w:sz w:val="24"/>
        </w:rPr>
      </w:pPr>
      <w:r w:rsidRPr="006F531E">
        <w:rPr>
          <w:sz w:val="24"/>
        </w:rPr>
        <w:t xml:space="preserve">Refer to University </w:t>
      </w:r>
      <w:r w:rsidR="006F31BB">
        <w:rPr>
          <w:sz w:val="24"/>
        </w:rPr>
        <w:t>P&amp;T Guidelines, Non-Tenure Track Instructional Positions- Continuous Appointment Related Evaluations, Section B</w:t>
      </w:r>
      <w:r w:rsidRPr="006F531E">
        <w:rPr>
          <w:sz w:val="24"/>
        </w:rPr>
        <w:t xml:space="preserve">, AAUP CBA, Article 18, </w:t>
      </w:r>
      <w:r w:rsidR="00DC51CB" w:rsidRPr="006F531E">
        <w:rPr>
          <w:sz w:val="24"/>
        </w:rPr>
        <w:t xml:space="preserve">Sect. </w:t>
      </w:r>
      <w:r w:rsidRPr="006F531E">
        <w:rPr>
          <w:sz w:val="24"/>
        </w:rPr>
        <w:t>2</w:t>
      </w:r>
      <w:r w:rsidR="00D42661" w:rsidRPr="006F531E">
        <w:rPr>
          <w:sz w:val="24"/>
        </w:rPr>
        <w:t>(a)</w:t>
      </w:r>
      <w:r w:rsidRPr="006F531E">
        <w:rPr>
          <w:sz w:val="24"/>
        </w:rPr>
        <w:t>, pages 22-2</w:t>
      </w:r>
      <w:r w:rsidR="00D42661" w:rsidRPr="006F531E">
        <w:rPr>
          <w:sz w:val="24"/>
        </w:rPr>
        <w:t>3</w:t>
      </w:r>
      <w:r w:rsidRPr="006B18E4">
        <w:rPr>
          <w:sz w:val="24"/>
        </w:rPr>
        <w:t>.</w:t>
      </w:r>
    </w:p>
    <w:p w14:paraId="3CBCB3C7" w14:textId="77777777" w:rsidR="00AE5C64" w:rsidRPr="00B017FC" w:rsidRDefault="00AE5C64" w:rsidP="009E7330">
      <w:pPr>
        <w:shd w:val="clear" w:color="auto" w:fill="FFFFFF" w:themeFill="background1"/>
        <w:tabs>
          <w:tab w:val="left" w:pos="720"/>
          <w:tab w:val="left" w:pos="810"/>
          <w:tab w:val="left" w:pos="1260"/>
          <w:tab w:val="left" w:pos="3030"/>
        </w:tabs>
        <w:outlineLvl w:val="0"/>
        <w:rPr>
          <w:sz w:val="24"/>
          <w:szCs w:val="24"/>
        </w:rPr>
      </w:pPr>
      <w:r w:rsidRPr="00B017FC">
        <w:rPr>
          <w:b/>
          <w:sz w:val="24"/>
          <w:szCs w:val="24"/>
        </w:rPr>
        <w:softHyphen/>
      </w:r>
      <w:r w:rsidRPr="00B017FC">
        <w:rPr>
          <w:b/>
          <w:sz w:val="24"/>
          <w:szCs w:val="24"/>
        </w:rPr>
        <w:softHyphen/>
      </w:r>
      <w:r w:rsidR="00654F37">
        <w:rPr>
          <w:b/>
          <w:sz w:val="24"/>
          <w:szCs w:val="24"/>
        </w:rPr>
        <w:tab/>
      </w:r>
      <w:r w:rsidRPr="00B017FC">
        <w:rPr>
          <w:b/>
          <w:sz w:val="24"/>
          <w:szCs w:val="24"/>
        </w:rPr>
        <w:t>C</w:t>
      </w:r>
      <w:r w:rsidRPr="00F21F69">
        <w:rPr>
          <w:b/>
          <w:sz w:val="24"/>
          <w:szCs w:val="24"/>
        </w:rPr>
        <w:t>.</w:t>
      </w:r>
      <w:r w:rsidR="00654F37">
        <w:rPr>
          <w:b/>
          <w:sz w:val="24"/>
          <w:szCs w:val="24"/>
        </w:rPr>
        <w:t xml:space="preserve"> </w:t>
      </w:r>
      <w:r w:rsidRPr="00B017FC">
        <w:rPr>
          <w:b/>
          <w:sz w:val="24"/>
          <w:szCs w:val="24"/>
        </w:rPr>
        <w:t>Type of Appointment</w:t>
      </w:r>
    </w:p>
    <w:p w14:paraId="2E49A054" w14:textId="77777777" w:rsidR="00AE5C64" w:rsidRPr="00B84E58" w:rsidRDefault="00AE5C64" w:rsidP="00B84E58">
      <w:pPr>
        <w:shd w:val="clear" w:color="auto" w:fill="FFFFFF" w:themeFill="background1"/>
        <w:tabs>
          <w:tab w:val="left" w:pos="1260"/>
        </w:tabs>
        <w:ind w:left="720"/>
        <w:rPr>
          <w:sz w:val="24"/>
          <w:szCs w:val="24"/>
        </w:rPr>
      </w:pPr>
      <w:r w:rsidRPr="006F531E">
        <w:rPr>
          <w:sz w:val="24"/>
          <w:szCs w:val="24"/>
        </w:rPr>
        <w:t xml:space="preserve">Refer to University </w:t>
      </w:r>
      <w:r w:rsidR="00026D5C">
        <w:rPr>
          <w:sz w:val="24"/>
        </w:rPr>
        <w:t>P&amp;T Guidelines, Non-Tenure Track Instructional Positions- Continuous Appointment Related Evaluations, Section C</w:t>
      </w:r>
      <w:r w:rsidR="00593885" w:rsidRPr="006F531E">
        <w:rPr>
          <w:sz w:val="24"/>
          <w:szCs w:val="24"/>
        </w:rPr>
        <w:t xml:space="preserve"> and </w:t>
      </w:r>
      <w:r w:rsidRPr="006F531E">
        <w:rPr>
          <w:sz w:val="24"/>
          <w:szCs w:val="24"/>
        </w:rPr>
        <w:t xml:space="preserve">AAUP CBA, </w:t>
      </w:r>
      <w:r w:rsidR="00593885" w:rsidRPr="006F531E">
        <w:rPr>
          <w:sz w:val="24"/>
          <w:szCs w:val="24"/>
        </w:rPr>
        <w:t>Article 18 (pg. 22)</w:t>
      </w:r>
      <w:r w:rsidRPr="00B84E58">
        <w:rPr>
          <w:sz w:val="24"/>
          <w:szCs w:val="24"/>
        </w:rPr>
        <w:t>.</w:t>
      </w:r>
    </w:p>
    <w:p w14:paraId="5998717C" w14:textId="77777777" w:rsidR="00AE5C64" w:rsidRPr="00F624E9" w:rsidRDefault="00747986" w:rsidP="00E4628A">
      <w:pPr>
        <w:shd w:val="clear" w:color="auto" w:fill="FFFFFF" w:themeFill="background1"/>
        <w:tabs>
          <w:tab w:val="left" w:pos="720"/>
        </w:tabs>
        <w:outlineLvl w:val="0"/>
        <w:rPr>
          <w:sz w:val="24"/>
          <w:szCs w:val="24"/>
        </w:rPr>
      </w:pPr>
      <w:r w:rsidRPr="00B017FC">
        <w:rPr>
          <w:sz w:val="24"/>
          <w:szCs w:val="24"/>
        </w:rPr>
        <w:tab/>
      </w:r>
      <w:r w:rsidR="00AE5C64" w:rsidRPr="00E4628A">
        <w:rPr>
          <w:b/>
          <w:sz w:val="24"/>
          <w:szCs w:val="24"/>
        </w:rPr>
        <w:t>D.</w:t>
      </w:r>
      <w:r>
        <w:rPr>
          <w:b/>
          <w:sz w:val="24"/>
          <w:szCs w:val="24"/>
        </w:rPr>
        <w:t xml:space="preserve"> </w:t>
      </w:r>
      <w:r w:rsidR="00AE5C64" w:rsidRPr="00F624E9">
        <w:rPr>
          <w:b/>
          <w:sz w:val="24"/>
          <w:szCs w:val="24"/>
        </w:rPr>
        <w:t>Faculty Offer and Position Descriptions</w:t>
      </w:r>
    </w:p>
    <w:p w14:paraId="48467A03" w14:textId="77777777" w:rsidR="00CA7FB3" w:rsidRPr="006B18E4" w:rsidRDefault="00AE5C64" w:rsidP="00B84E58">
      <w:pPr>
        <w:shd w:val="clear" w:color="auto" w:fill="FFFFFF" w:themeFill="background1"/>
        <w:tabs>
          <w:tab w:val="left" w:pos="1260"/>
        </w:tabs>
        <w:ind w:left="720"/>
      </w:pPr>
      <w:r w:rsidRPr="00F624E9">
        <w:t xml:space="preserve">Refer to University </w:t>
      </w:r>
      <w:r w:rsidR="00026D5C">
        <w:rPr>
          <w:sz w:val="24"/>
        </w:rPr>
        <w:t>P&amp;T Guidelines, Non-Tenure Track Instructional Positions- Continuous Appointment</w:t>
      </w:r>
      <w:r w:rsidR="006F531E">
        <w:rPr>
          <w:sz w:val="24"/>
        </w:rPr>
        <w:t xml:space="preserve"> Related Evaluations, Section D</w:t>
      </w:r>
      <w:r w:rsidR="00747986" w:rsidRPr="006F531E">
        <w:t xml:space="preserve"> and </w:t>
      </w:r>
      <w:r w:rsidRPr="006F531E">
        <w:t xml:space="preserve">AAUP CBA, </w:t>
      </w:r>
      <w:r w:rsidR="00747986" w:rsidRPr="006F531E">
        <w:t xml:space="preserve">Article 18, </w:t>
      </w:r>
      <w:r w:rsidR="00DC51CB" w:rsidRPr="006F531E">
        <w:t>Sect.</w:t>
      </w:r>
      <w:r w:rsidRPr="006F531E">
        <w:t xml:space="preserve"> 4</w:t>
      </w:r>
      <w:r w:rsidR="00747986" w:rsidRPr="006F531E">
        <w:t xml:space="preserve"> (pg. 25)</w:t>
      </w:r>
      <w:r w:rsidRPr="006B18E4">
        <w:t>.</w:t>
      </w:r>
    </w:p>
    <w:p w14:paraId="52C3A85E" w14:textId="77777777" w:rsidR="00CA7FB3" w:rsidRPr="006B18E4" w:rsidRDefault="00CA7FB3" w:rsidP="00B84E58">
      <w:pPr>
        <w:shd w:val="clear" w:color="auto" w:fill="FFFFFF" w:themeFill="background1"/>
        <w:tabs>
          <w:tab w:val="left" w:pos="1260"/>
        </w:tabs>
        <w:ind w:left="720"/>
      </w:pPr>
      <w:r w:rsidRPr="006F531E">
        <w:rPr>
          <w:i/>
          <w:shd w:val="clear" w:color="auto" w:fill="FF99FF"/>
        </w:rPr>
        <w:t>Note:</w:t>
      </w:r>
      <w:r w:rsidRPr="006F531E">
        <w:rPr>
          <w:shd w:val="clear" w:color="auto" w:fill="FF99FF"/>
        </w:rPr>
        <w:t xml:space="preserve">  </w:t>
      </w:r>
      <w:r w:rsidRPr="006F531E">
        <w:rPr>
          <w:i/>
          <w:shd w:val="clear" w:color="auto" w:fill="FF99FF"/>
        </w:rPr>
        <w:t xml:space="preserve">1.00 Full-Time Equivalency (FTE) will include no more than 36 course credits of assigned </w:t>
      </w:r>
      <w:r w:rsidR="00712B06" w:rsidRPr="006F531E">
        <w:rPr>
          <w:i/>
          <w:shd w:val="clear" w:color="auto" w:fill="FF99FF"/>
        </w:rPr>
        <w:t xml:space="preserve">teaching per academic year.  Assigned </w:t>
      </w:r>
      <w:r w:rsidR="0039670A" w:rsidRPr="006F531E">
        <w:rPr>
          <w:i/>
          <w:shd w:val="clear" w:color="auto" w:fill="FF99FF"/>
        </w:rPr>
        <w:t>University</w:t>
      </w:r>
      <w:r w:rsidR="00712B06" w:rsidRPr="006F531E">
        <w:rPr>
          <w:i/>
          <w:shd w:val="clear" w:color="auto" w:fill="FF99FF"/>
        </w:rPr>
        <w:t>/community/professional service and scholarly work shall not exceed ten percent (10%) of an instructional NTTF member’s workload without a reduction in instructional load</w:t>
      </w:r>
      <w:r w:rsidR="00712B06" w:rsidRPr="006B18E4">
        <w:rPr>
          <w:i/>
        </w:rPr>
        <w:t>.</w:t>
      </w:r>
    </w:p>
    <w:p w14:paraId="371F11D7" w14:textId="77777777" w:rsidR="00AE5C64" w:rsidRPr="00F624E9" w:rsidRDefault="00CB375A" w:rsidP="00CB375A">
      <w:pPr>
        <w:shd w:val="clear" w:color="auto" w:fill="FFFFFF" w:themeFill="background1"/>
        <w:outlineLvl w:val="0"/>
        <w:rPr>
          <w:sz w:val="20"/>
        </w:rPr>
      </w:pPr>
      <w:r>
        <w:rPr>
          <w:b/>
          <w:sz w:val="24"/>
        </w:rPr>
        <w:tab/>
      </w:r>
      <w:r w:rsidR="00AE5C64" w:rsidRPr="00F624E9">
        <w:rPr>
          <w:b/>
          <w:sz w:val="24"/>
        </w:rPr>
        <w:t>E.</w:t>
      </w:r>
      <w:r>
        <w:rPr>
          <w:b/>
          <w:sz w:val="24"/>
        </w:rPr>
        <w:t xml:space="preserve"> </w:t>
      </w:r>
      <w:r w:rsidR="00AE5C64" w:rsidRPr="00F624E9">
        <w:rPr>
          <w:b/>
          <w:sz w:val="24"/>
        </w:rPr>
        <w:t>Annual Review</w:t>
      </w:r>
    </w:p>
    <w:p w14:paraId="3DFC29F7" w14:textId="77777777" w:rsidR="00AE5C64" w:rsidRPr="006B18E4" w:rsidRDefault="00AE5C64" w:rsidP="00B84E58">
      <w:pPr>
        <w:shd w:val="clear" w:color="auto" w:fill="FFFFFF" w:themeFill="background1"/>
        <w:tabs>
          <w:tab w:val="left" w:pos="1260"/>
        </w:tabs>
        <w:ind w:left="720"/>
        <w:rPr>
          <w:sz w:val="24"/>
        </w:rPr>
      </w:pPr>
      <w:r w:rsidRPr="00B56D51">
        <w:rPr>
          <w:sz w:val="24"/>
          <w:shd w:val="clear" w:color="auto" w:fill="FF99FF"/>
        </w:rPr>
        <w:t xml:space="preserve">NTTF </w:t>
      </w:r>
      <w:r w:rsidR="00F26650" w:rsidRPr="00B56D51">
        <w:rPr>
          <w:sz w:val="24"/>
          <w:shd w:val="clear" w:color="auto" w:fill="FF99FF"/>
        </w:rPr>
        <w:t xml:space="preserve">instructional faculty members are to be evaluated annually through a developmental review process during years one through five of the probationary period.  The review should document and evaluate faculty contributions, and provide developmental feedback and guidance in preparation for the Milestone Review for </w:t>
      </w:r>
      <w:r w:rsidR="00F26650" w:rsidRPr="00B56D51">
        <w:rPr>
          <w:sz w:val="24"/>
          <w:shd w:val="clear" w:color="auto" w:fill="FF99FF"/>
        </w:rPr>
        <w:lastRenderedPageBreak/>
        <w:t xml:space="preserve">Continuous Appointment.  This review should be consistent with the faculty member’s </w:t>
      </w:r>
      <w:r w:rsidR="00F26650" w:rsidRPr="00B56D51">
        <w:rPr>
          <w:sz w:val="24"/>
          <w:shd w:val="clear" w:color="auto" w:fill="FF99FF"/>
        </w:rPr>
        <w:t>letter of appointment</w:t>
      </w:r>
      <w:r w:rsidR="00F26650" w:rsidRPr="006B18E4">
        <w:rPr>
          <w:sz w:val="24"/>
        </w:rPr>
        <w:t>.</w:t>
      </w:r>
    </w:p>
    <w:p w14:paraId="0DE2BFCD" w14:textId="77777777" w:rsidR="00F26650" w:rsidRPr="006B18E4" w:rsidRDefault="00564EFD" w:rsidP="00B84E58">
      <w:pPr>
        <w:shd w:val="clear" w:color="auto" w:fill="FFFFFF" w:themeFill="background1"/>
        <w:tabs>
          <w:tab w:val="left" w:pos="1260"/>
        </w:tabs>
        <w:ind w:left="720"/>
        <w:rPr>
          <w:sz w:val="24"/>
        </w:rPr>
      </w:pPr>
      <w:r w:rsidRPr="006F531E">
        <w:rPr>
          <w:sz w:val="24"/>
          <w:shd w:val="clear" w:color="auto" w:fill="C9F296" w:themeFill="accent3" w:themeFillTint="99"/>
        </w:rPr>
        <w:t>Describe how</w:t>
      </w:r>
      <w:r w:rsidR="00F624E9" w:rsidRPr="006F531E">
        <w:rPr>
          <w:sz w:val="24"/>
          <w:shd w:val="clear" w:color="auto" w:fill="C9F296" w:themeFill="accent3" w:themeFillTint="99"/>
        </w:rPr>
        <w:t xml:space="preserve"> the</w:t>
      </w:r>
      <w:r w:rsidRPr="006F531E">
        <w:rPr>
          <w:sz w:val="24"/>
          <w:shd w:val="clear" w:color="auto" w:fill="C9F296" w:themeFill="accent3" w:themeFillTint="99"/>
        </w:rPr>
        <w:t xml:space="preserve"> department will establish </w:t>
      </w:r>
      <w:r w:rsidR="00CB375A" w:rsidRPr="006F531E">
        <w:rPr>
          <w:sz w:val="24"/>
          <w:shd w:val="clear" w:color="auto" w:fill="C9F296" w:themeFill="accent3" w:themeFillTint="99"/>
        </w:rPr>
        <w:t xml:space="preserve">and maintain </w:t>
      </w:r>
      <w:r w:rsidR="00F26650" w:rsidRPr="006F531E">
        <w:rPr>
          <w:sz w:val="24"/>
          <w:shd w:val="clear" w:color="auto" w:fill="C9F296" w:themeFill="accent3" w:themeFillTint="99"/>
        </w:rPr>
        <w:t>guidelines</w:t>
      </w:r>
      <w:r w:rsidR="00F26650" w:rsidRPr="00B56D51">
        <w:rPr>
          <w:sz w:val="24"/>
          <w:shd w:val="clear" w:color="auto" w:fill="C9F296" w:themeFill="accent3" w:themeFillTint="99"/>
        </w:rPr>
        <w:t xml:space="preserve"> </w:t>
      </w:r>
      <w:r w:rsidR="00F26650" w:rsidRPr="00B56D51">
        <w:rPr>
          <w:sz w:val="24"/>
          <w:shd w:val="clear" w:color="auto" w:fill="C9F296" w:themeFill="accent3" w:themeFillTint="99"/>
        </w:rPr>
        <w:t>for review of NTT instructional faculty members that are consistent with the guidelines developed by the Faculty Senate</w:t>
      </w:r>
      <w:r w:rsidR="00F26650" w:rsidRPr="006B18E4">
        <w:rPr>
          <w:sz w:val="24"/>
        </w:rPr>
        <w:t>.</w:t>
      </w:r>
    </w:p>
    <w:p w14:paraId="4EE4D17F" w14:textId="77777777" w:rsidR="00317A23" w:rsidRDefault="0039670A" w:rsidP="00B84E58">
      <w:pPr>
        <w:shd w:val="clear" w:color="auto" w:fill="FFFFFF" w:themeFill="background1"/>
        <w:tabs>
          <w:tab w:val="left" w:pos="1260"/>
        </w:tabs>
        <w:ind w:left="720"/>
        <w:rPr>
          <w:sz w:val="24"/>
        </w:rPr>
      </w:pPr>
      <w:r w:rsidRPr="00AE13D1">
        <w:rPr>
          <w:sz w:val="24"/>
          <w:shd w:val="clear" w:color="auto" w:fill="C9F296" w:themeFill="accent3" w:themeFillTint="99"/>
        </w:rPr>
        <w:t xml:space="preserve">Specify how the department chair or equivalent and the </w:t>
      </w:r>
      <w:r w:rsidR="00317A23" w:rsidRPr="00AE13D1">
        <w:rPr>
          <w:sz w:val="24"/>
          <w:shd w:val="clear" w:color="auto" w:fill="C9F296" w:themeFill="accent3" w:themeFillTint="99"/>
        </w:rPr>
        <w:t>NTT Instructional Faculty who hold annual contracts with more than one uni</w:t>
      </w:r>
      <w:r w:rsidRPr="00AE13D1">
        <w:rPr>
          <w:sz w:val="24"/>
          <w:shd w:val="clear" w:color="auto" w:fill="C9F296" w:themeFill="accent3" w:themeFillTint="99"/>
        </w:rPr>
        <w:t>t during a probati</w:t>
      </w:r>
      <w:r w:rsidRPr="00AE13D1">
        <w:rPr>
          <w:sz w:val="24"/>
          <w:shd w:val="clear" w:color="auto" w:fill="C9F296" w:themeFill="accent3" w:themeFillTint="99"/>
        </w:rPr>
        <w:t xml:space="preserve">onary period </w:t>
      </w:r>
      <w:r w:rsidR="00317A23" w:rsidRPr="00AE13D1">
        <w:rPr>
          <w:sz w:val="24"/>
          <w:shd w:val="clear" w:color="auto" w:fill="C9F296" w:themeFill="accent3" w:themeFillTint="99"/>
        </w:rPr>
        <w:t xml:space="preserve">will </w:t>
      </w:r>
      <w:r w:rsidR="00CB375A" w:rsidRPr="006F531E">
        <w:rPr>
          <w:sz w:val="24"/>
          <w:shd w:val="clear" w:color="auto" w:fill="C9F296" w:themeFill="accent3" w:themeFillTint="99"/>
        </w:rPr>
        <w:t xml:space="preserve">mutually </w:t>
      </w:r>
      <w:r w:rsidR="00317A23" w:rsidRPr="00AE13D1">
        <w:rPr>
          <w:sz w:val="24"/>
          <w:shd w:val="clear" w:color="auto" w:fill="C9F296" w:themeFill="accent3" w:themeFillTint="99"/>
        </w:rPr>
        <w:t xml:space="preserve">decide which unit will be responsible for the evaluation.  </w:t>
      </w:r>
      <w:r w:rsidR="00CB375A" w:rsidRPr="006F531E">
        <w:rPr>
          <w:sz w:val="24"/>
          <w:shd w:val="clear" w:color="auto" w:fill="FF99FF"/>
        </w:rPr>
        <w:t>If</w:t>
      </w:r>
      <w:r w:rsidR="00317A23" w:rsidRPr="006F531E">
        <w:rPr>
          <w:sz w:val="24"/>
          <w:shd w:val="clear" w:color="auto" w:fill="FF99FF"/>
        </w:rPr>
        <w:t xml:space="preserve"> a mutual decision cannot be reached, the dean or designee, or the Provost or designee, in the case of multiple colleges, will make a determination</w:t>
      </w:r>
      <w:r w:rsidR="00317A23" w:rsidRPr="006B18E4">
        <w:rPr>
          <w:sz w:val="24"/>
        </w:rPr>
        <w:t>.</w:t>
      </w:r>
    </w:p>
    <w:p w14:paraId="3B45CD8D" w14:textId="77777777" w:rsidR="00143383" w:rsidRPr="006B18E4" w:rsidRDefault="00143383" w:rsidP="00B84E58">
      <w:pPr>
        <w:shd w:val="clear" w:color="auto" w:fill="FFFFFF" w:themeFill="background1"/>
        <w:tabs>
          <w:tab w:val="left" w:pos="1260"/>
        </w:tabs>
        <w:ind w:left="720"/>
        <w:rPr>
          <w:sz w:val="24"/>
        </w:rPr>
      </w:pPr>
    </w:p>
    <w:p w14:paraId="7FEB80F2" w14:textId="77777777" w:rsidR="00AE5C64" w:rsidRPr="006B18E4" w:rsidRDefault="00F26650" w:rsidP="009E7330">
      <w:pPr>
        <w:shd w:val="clear" w:color="auto" w:fill="FFFFFF" w:themeFill="background1"/>
        <w:tabs>
          <w:tab w:val="left" w:pos="1260"/>
        </w:tabs>
        <w:ind w:left="720"/>
        <w:outlineLvl w:val="0"/>
        <w:rPr>
          <w:b/>
          <w:sz w:val="24"/>
        </w:rPr>
      </w:pPr>
      <w:r w:rsidRPr="00B84E58">
        <w:rPr>
          <w:b/>
          <w:sz w:val="24"/>
          <w:shd w:val="clear" w:color="auto" w:fill="C9F296" w:themeFill="accent3" w:themeFillTint="99"/>
        </w:rPr>
        <w:t>The departmental guidelines must, at a minimum</w:t>
      </w:r>
      <w:r w:rsidRPr="006B18E4">
        <w:rPr>
          <w:b/>
          <w:sz w:val="24"/>
        </w:rPr>
        <w:t>:</w:t>
      </w:r>
    </w:p>
    <w:p w14:paraId="08BEC53E" w14:textId="77777777" w:rsidR="00F26650" w:rsidRPr="006B18E4" w:rsidRDefault="00F26650" w:rsidP="00B84E58">
      <w:pPr>
        <w:pStyle w:val="ListParagraph"/>
        <w:numPr>
          <w:ilvl w:val="0"/>
          <w:numId w:val="2"/>
        </w:numPr>
        <w:shd w:val="clear" w:color="auto" w:fill="C9F296" w:themeFill="accent3" w:themeFillTint="99"/>
        <w:tabs>
          <w:tab w:val="left" w:pos="1260"/>
        </w:tabs>
        <w:rPr>
          <w:sz w:val="24"/>
        </w:rPr>
      </w:pPr>
      <w:r w:rsidRPr="006B18E4">
        <w:rPr>
          <w:sz w:val="24"/>
        </w:rPr>
        <w:t>Be in writing and be made available to members;</w:t>
      </w:r>
    </w:p>
    <w:p w14:paraId="19A1A2C8" w14:textId="77777777" w:rsidR="00F26650" w:rsidRPr="006B18E4" w:rsidRDefault="00F26650" w:rsidP="00DB1DE3">
      <w:pPr>
        <w:pStyle w:val="ListParagraph"/>
        <w:numPr>
          <w:ilvl w:val="0"/>
          <w:numId w:val="2"/>
        </w:numPr>
        <w:shd w:val="clear" w:color="auto" w:fill="C9F296" w:themeFill="accent3" w:themeFillTint="99"/>
        <w:tabs>
          <w:tab w:val="left" w:pos="1260"/>
        </w:tabs>
        <w:ind w:left="1260" w:hanging="180"/>
        <w:rPr>
          <w:sz w:val="24"/>
        </w:rPr>
      </w:pPr>
      <w:r w:rsidRPr="006B18E4">
        <w:rPr>
          <w:sz w:val="24"/>
        </w:rPr>
        <w:t>Require each department to identify the committee(s) responsible for the</w:t>
      </w:r>
      <w:r w:rsidR="00722E7B">
        <w:rPr>
          <w:sz w:val="24"/>
        </w:rPr>
        <w:t xml:space="preserve"> e</w:t>
      </w:r>
      <w:r w:rsidR="00B84933" w:rsidRPr="006B18E4">
        <w:rPr>
          <w:sz w:val="24"/>
        </w:rPr>
        <w:t>valuation</w:t>
      </w:r>
      <w:r w:rsidR="00722E7B">
        <w:rPr>
          <w:sz w:val="24"/>
        </w:rPr>
        <w:t>s</w:t>
      </w:r>
      <w:r w:rsidRPr="006B18E4">
        <w:rPr>
          <w:sz w:val="24"/>
        </w:rPr>
        <w:t>;</w:t>
      </w:r>
    </w:p>
    <w:p w14:paraId="68EEA287" w14:textId="77777777" w:rsidR="00F26650" w:rsidRPr="006B18E4" w:rsidRDefault="00F26650" w:rsidP="00B84E58">
      <w:pPr>
        <w:pStyle w:val="ListParagraph"/>
        <w:numPr>
          <w:ilvl w:val="0"/>
          <w:numId w:val="2"/>
        </w:numPr>
        <w:shd w:val="clear" w:color="auto" w:fill="C9F296" w:themeFill="accent3" w:themeFillTint="99"/>
        <w:tabs>
          <w:tab w:val="left" w:pos="1260"/>
        </w:tabs>
        <w:rPr>
          <w:sz w:val="24"/>
        </w:rPr>
      </w:pPr>
      <w:r w:rsidRPr="006B18E4">
        <w:rPr>
          <w:sz w:val="24"/>
        </w:rPr>
        <w:t>Establish job-relevant evaluation criteria and require the criteria to be in writing;</w:t>
      </w:r>
    </w:p>
    <w:p w14:paraId="25DE0703" w14:textId="77777777" w:rsidR="00F26650" w:rsidRPr="006B18E4" w:rsidRDefault="00F26650" w:rsidP="00DB1DE3">
      <w:pPr>
        <w:pStyle w:val="ListParagraph"/>
        <w:numPr>
          <w:ilvl w:val="0"/>
          <w:numId w:val="2"/>
        </w:numPr>
        <w:shd w:val="clear" w:color="auto" w:fill="C9F296" w:themeFill="accent3" w:themeFillTint="99"/>
        <w:tabs>
          <w:tab w:val="left" w:pos="1260"/>
        </w:tabs>
        <w:ind w:left="1260" w:hanging="180"/>
        <w:rPr>
          <w:sz w:val="24"/>
        </w:rPr>
      </w:pPr>
      <w:r w:rsidRPr="006B18E4">
        <w:rPr>
          <w:sz w:val="24"/>
        </w:rPr>
        <w:t>Provide that the results of the review be in writing and be provided to the member;</w:t>
      </w:r>
    </w:p>
    <w:p w14:paraId="51BFBC21" w14:textId="77777777" w:rsidR="00F26650" w:rsidRPr="006B18E4" w:rsidRDefault="00F26650" w:rsidP="00B84E58">
      <w:pPr>
        <w:pStyle w:val="ListParagraph"/>
        <w:numPr>
          <w:ilvl w:val="0"/>
          <w:numId w:val="2"/>
        </w:numPr>
        <w:shd w:val="clear" w:color="auto" w:fill="C9F296" w:themeFill="accent3" w:themeFillTint="99"/>
        <w:tabs>
          <w:tab w:val="left" w:pos="1260"/>
        </w:tabs>
        <w:rPr>
          <w:sz w:val="24"/>
        </w:rPr>
      </w:pPr>
      <w:r w:rsidRPr="006B18E4">
        <w:rPr>
          <w:sz w:val="24"/>
        </w:rPr>
        <w:t>Provide that the member is entitled to meet with the reviewers;</w:t>
      </w:r>
    </w:p>
    <w:p w14:paraId="43A1271D" w14:textId="77777777" w:rsidR="00F26650" w:rsidRPr="006B18E4" w:rsidRDefault="00F26650" w:rsidP="00DB1DE3">
      <w:pPr>
        <w:pStyle w:val="ListParagraph"/>
        <w:numPr>
          <w:ilvl w:val="0"/>
          <w:numId w:val="2"/>
        </w:numPr>
        <w:shd w:val="clear" w:color="auto" w:fill="C9F296" w:themeFill="accent3" w:themeFillTint="99"/>
        <w:tabs>
          <w:tab w:val="left" w:pos="1260"/>
        </w:tabs>
        <w:ind w:left="1260" w:hanging="180"/>
        <w:rPr>
          <w:sz w:val="24"/>
        </w:rPr>
      </w:pPr>
      <w:r w:rsidRPr="006B18E4">
        <w:rPr>
          <w:sz w:val="24"/>
        </w:rPr>
        <w:t>Provide that the member is able to respond to the review by submitting a statement or comments, that will be attached to the review;</w:t>
      </w:r>
    </w:p>
    <w:p w14:paraId="1866574F" w14:textId="77777777" w:rsidR="00F26650" w:rsidRPr="006B18E4" w:rsidRDefault="00F26650" w:rsidP="00B84E58">
      <w:pPr>
        <w:pStyle w:val="ListParagraph"/>
        <w:numPr>
          <w:ilvl w:val="0"/>
          <w:numId w:val="2"/>
        </w:numPr>
        <w:shd w:val="clear" w:color="auto" w:fill="C9F296" w:themeFill="accent3" w:themeFillTint="99"/>
        <w:tabs>
          <w:tab w:val="left" w:pos="1260"/>
        </w:tabs>
        <w:rPr>
          <w:sz w:val="24"/>
        </w:rPr>
      </w:pPr>
      <w:r w:rsidRPr="006B18E4">
        <w:rPr>
          <w:sz w:val="24"/>
        </w:rPr>
        <w:t>Provide that the member may submit relevant materials to the reviewers;</w:t>
      </w:r>
    </w:p>
    <w:p w14:paraId="29302806" w14:textId="77777777" w:rsidR="00F26650" w:rsidRPr="006B18E4" w:rsidRDefault="003E2021" w:rsidP="00DB1DE3">
      <w:pPr>
        <w:pStyle w:val="ListParagraph"/>
        <w:numPr>
          <w:ilvl w:val="0"/>
          <w:numId w:val="2"/>
        </w:numPr>
        <w:shd w:val="clear" w:color="auto" w:fill="C9F296" w:themeFill="accent3" w:themeFillTint="99"/>
        <w:tabs>
          <w:tab w:val="left" w:pos="1260"/>
        </w:tabs>
        <w:ind w:left="1260" w:hanging="180"/>
        <w:rPr>
          <w:sz w:val="24"/>
        </w:rPr>
      </w:pPr>
      <w:r w:rsidRPr="006F531E">
        <w:rPr>
          <w:sz w:val="24"/>
          <w:shd w:val="clear" w:color="auto" w:fill="C9F296" w:themeFill="accent3" w:themeFillTint="99"/>
        </w:rPr>
        <w:t>State</w:t>
      </w:r>
      <w:r w:rsidRPr="006B18E4">
        <w:rPr>
          <w:sz w:val="24"/>
        </w:rPr>
        <w:t xml:space="preserve"> </w:t>
      </w:r>
      <w:r w:rsidR="00F26650" w:rsidRPr="006B18E4">
        <w:rPr>
          <w:sz w:val="24"/>
        </w:rPr>
        <w:t>that the member may request a review if one has not been provided within the time period provided for by the guidelines;</w:t>
      </w:r>
    </w:p>
    <w:p w14:paraId="377C3C1B" w14:textId="77777777" w:rsidR="00F26650" w:rsidRPr="006B18E4" w:rsidRDefault="00F26650" w:rsidP="00B84E58">
      <w:pPr>
        <w:pStyle w:val="ListParagraph"/>
        <w:numPr>
          <w:ilvl w:val="0"/>
          <w:numId w:val="2"/>
        </w:numPr>
        <w:shd w:val="clear" w:color="auto" w:fill="C9F296" w:themeFill="accent3" w:themeFillTint="99"/>
        <w:tabs>
          <w:tab w:val="left" w:pos="1260"/>
        </w:tabs>
        <w:rPr>
          <w:sz w:val="24"/>
        </w:rPr>
      </w:pPr>
      <w:r w:rsidRPr="006B18E4">
        <w:rPr>
          <w:sz w:val="24"/>
        </w:rPr>
        <w:t xml:space="preserve">Provide that the member </w:t>
      </w:r>
      <w:r w:rsidR="00BE1E6B" w:rsidRPr="006B18E4">
        <w:rPr>
          <w:sz w:val="24"/>
        </w:rPr>
        <w:t>is to have reasonable notice of the evaluation;</w:t>
      </w:r>
    </w:p>
    <w:p w14:paraId="341AAE0D" w14:textId="77777777" w:rsidR="00BE1E6B" w:rsidRPr="006B18E4" w:rsidRDefault="003E2021" w:rsidP="00DB1DE3">
      <w:pPr>
        <w:pStyle w:val="ListParagraph"/>
        <w:numPr>
          <w:ilvl w:val="0"/>
          <w:numId w:val="2"/>
        </w:numPr>
        <w:shd w:val="clear" w:color="auto" w:fill="C9F296" w:themeFill="accent3" w:themeFillTint="99"/>
        <w:tabs>
          <w:tab w:val="left" w:pos="1260"/>
        </w:tabs>
        <w:ind w:left="1260" w:hanging="180"/>
        <w:rPr>
          <w:sz w:val="24"/>
        </w:rPr>
      </w:pPr>
      <w:r w:rsidRPr="006F531E">
        <w:rPr>
          <w:sz w:val="24"/>
          <w:shd w:val="clear" w:color="auto" w:fill="C9F296" w:themeFill="accent3" w:themeFillTint="99"/>
        </w:rPr>
        <w:t>State that in</w:t>
      </w:r>
      <w:r w:rsidRPr="006B18E4">
        <w:rPr>
          <w:sz w:val="24"/>
        </w:rPr>
        <w:t xml:space="preserve"> </w:t>
      </w:r>
      <w:r w:rsidR="00BE1E6B" w:rsidRPr="006B18E4">
        <w:rPr>
          <w:sz w:val="24"/>
        </w:rPr>
        <w:t>a department with more than one NTT instructional faculty member, provide that at least one NTT instructional faculty member will be on the review committee; and</w:t>
      </w:r>
    </w:p>
    <w:p w14:paraId="7E94052E" w14:textId="77777777" w:rsidR="00BE1E6B" w:rsidRPr="006B18E4" w:rsidRDefault="003E2021" w:rsidP="00DB1DE3">
      <w:pPr>
        <w:pStyle w:val="ListParagraph"/>
        <w:numPr>
          <w:ilvl w:val="0"/>
          <w:numId w:val="2"/>
        </w:numPr>
        <w:shd w:val="clear" w:color="auto" w:fill="C9F296" w:themeFill="accent3" w:themeFillTint="99"/>
        <w:tabs>
          <w:tab w:val="left" w:pos="1260"/>
        </w:tabs>
        <w:ind w:left="1260" w:hanging="180"/>
        <w:rPr>
          <w:sz w:val="24"/>
        </w:rPr>
      </w:pPr>
      <w:r w:rsidRPr="006F531E">
        <w:rPr>
          <w:sz w:val="24"/>
          <w:shd w:val="clear" w:color="auto" w:fill="C9F296" w:themeFill="accent3" w:themeFillTint="99"/>
        </w:rPr>
        <w:t>State that i</w:t>
      </w:r>
      <w:r w:rsidR="00BE1E6B" w:rsidRPr="006F531E">
        <w:rPr>
          <w:sz w:val="24"/>
          <w:shd w:val="clear" w:color="auto" w:fill="C9F296" w:themeFill="accent3" w:themeFillTint="99"/>
        </w:rPr>
        <w:t>n</w:t>
      </w:r>
      <w:r w:rsidR="00BE1E6B" w:rsidRPr="006B18E4">
        <w:rPr>
          <w:sz w:val="24"/>
        </w:rPr>
        <w:t xml:space="preserve"> the event a department has only one NTT instructional faculty who is being reviewed, the department will add an NTT instructional faculty member from another unit in the school or college, or another school or college if necessary.</w:t>
      </w:r>
    </w:p>
    <w:p w14:paraId="0F97BB76" w14:textId="77777777" w:rsidR="008D7FB4" w:rsidRPr="006B18E4" w:rsidRDefault="00AE13D1" w:rsidP="009E7330">
      <w:pPr>
        <w:shd w:val="clear" w:color="auto" w:fill="FFFFFF" w:themeFill="background1"/>
        <w:tabs>
          <w:tab w:val="left" w:pos="1260"/>
        </w:tabs>
        <w:ind w:left="720"/>
        <w:outlineLvl w:val="0"/>
        <w:rPr>
          <w:b/>
          <w:sz w:val="24"/>
        </w:rPr>
      </w:pPr>
      <w:r>
        <w:rPr>
          <w:b/>
          <w:sz w:val="24"/>
          <w:highlight w:val="yellow"/>
        </w:rPr>
        <w:t>D</w:t>
      </w:r>
      <w:r w:rsidR="008D7FB4" w:rsidRPr="00AE13D1">
        <w:rPr>
          <w:b/>
          <w:sz w:val="24"/>
          <w:highlight w:val="yellow"/>
        </w:rPr>
        <w:t>epartment may add other requirements as appropriate</w:t>
      </w:r>
      <w:r w:rsidR="0073588F" w:rsidRPr="00AE13D1">
        <w:rPr>
          <w:b/>
          <w:sz w:val="24"/>
          <w:highlight w:val="yellow"/>
        </w:rPr>
        <w:t>.</w:t>
      </w:r>
    </w:p>
    <w:p w14:paraId="4AFF5A2F" w14:textId="7A05E187" w:rsidR="00BE1E6B" w:rsidRPr="006B18E4" w:rsidRDefault="00DB1DE3" w:rsidP="00B84E58">
      <w:pPr>
        <w:shd w:val="clear" w:color="auto" w:fill="FFFFFF" w:themeFill="background1"/>
        <w:tabs>
          <w:tab w:val="left" w:pos="1260"/>
        </w:tabs>
        <w:ind w:left="720"/>
        <w:rPr>
          <w:b/>
        </w:rPr>
      </w:pPr>
      <w:r w:rsidRPr="00CF6C50">
        <w:rPr>
          <w:b/>
          <w:shd w:val="clear" w:color="auto" w:fill="FF99FF"/>
        </w:rPr>
        <w:t>Annual Review</w:t>
      </w:r>
      <w:r>
        <w:rPr>
          <w:b/>
          <w:shd w:val="clear" w:color="auto" w:fill="FF99FF"/>
        </w:rPr>
        <w:t xml:space="preserve"> </w:t>
      </w:r>
      <w:r w:rsidR="00BE1E6B" w:rsidRPr="00AE13D1">
        <w:rPr>
          <w:b/>
          <w:shd w:val="clear" w:color="auto" w:fill="FF99FF"/>
        </w:rPr>
        <w:t xml:space="preserve">Submission Materials submitted by the faculty member </w:t>
      </w:r>
      <w:r w:rsidRPr="00CF6C50">
        <w:rPr>
          <w:b/>
          <w:shd w:val="clear" w:color="auto" w:fill="FF99FF"/>
        </w:rPr>
        <w:t>should</w:t>
      </w:r>
      <w:r w:rsidR="00BE1E6B" w:rsidRPr="00CF6C50">
        <w:rPr>
          <w:b/>
          <w:shd w:val="clear" w:color="auto" w:fill="FF99FF"/>
        </w:rPr>
        <w:t>,</w:t>
      </w:r>
      <w:r w:rsidR="00BE1E6B" w:rsidRPr="00AE13D1">
        <w:rPr>
          <w:b/>
          <w:shd w:val="clear" w:color="auto" w:fill="FF99FF"/>
        </w:rPr>
        <w:t xml:space="preserve"> at </w:t>
      </w:r>
      <w:r w:rsidR="00BE1E6B" w:rsidRPr="00AE13D1">
        <w:rPr>
          <w:b/>
          <w:shd w:val="clear" w:color="auto" w:fill="FF99FF"/>
        </w:rPr>
        <w:t>a minimum, include the following</w:t>
      </w:r>
      <w:r w:rsidR="00BE1E6B" w:rsidRPr="006B18E4">
        <w:rPr>
          <w:b/>
        </w:rPr>
        <w:t xml:space="preserve">: </w:t>
      </w:r>
    </w:p>
    <w:p w14:paraId="41339F61" w14:textId="77777777" w:rsidR="00AE5C64" w:rsidRPr="006B18E4" w:rsidRDefault="00BE1E6B" w:rsidP="00DB1DE3">
      <w:pPr>
        <w:pStyle w:val="ListParagraph"/>
        <w:numPr>
          <w:ilvl w:val="0"/>
          <w:numId w:val="3"/>
        </w:numPr>
        <w:shd w:val="clear" w:color="auto" w:fill="FF99FF"/>
        <w:tabs>
          <w:tab w:val="left" w:pos="1260"/>
        </w:tabs>
        <w:ind w:left="1260" w:hanging="180"/>
        <w:rPr>
          <w:sz w:val="24"/>
        </w:rPr>
      </w:pPr>
      <w:r w:rsidRPr="006B18E4">
        <w:rPr>
          <w:sz w:val="24"/>
        </w:rPr>
        <w:lastRenderedPageBreak/>
        <w:t>An annual self-appraisal that reflects the areas of work as described in the NTT instructional faculty member’s job description and that highlights activities and achievements;</w:t>
      </w:r>
    </w:p>
    <w:p w14:paraId="74763210" w14:textId="6BF6A6A8" w:rsidR="00BE1E6B" w:rsidRPr="006B18E4" w:rsidRDefault="00BE1E6B" w:rsidP="00DB1DE3">
      <w:pPr>
        <w:pStyle w:val="ListParagraph"/>
        <w:numPr>
          <w:ilvl w:val="0"/>
          <w:numId w:val="3"/>
        </w:numPr>
        <w:shd w:val="clear" w:color="auto" w:fill="FF99FF"/>
        <w:tabs>
          <w:tab w:val="left" w:pos="1260"/>
        </w:tabs>
        <w:ind w:left="1260" w:hanging="180"/>
        <w:rPr>
          <w:sz w:val="24"/>
        </w:rPr>
      </w:pPr>
      <w:r w:rsidRPr="006B18E4">
        <w:rPr>
          <w:sz w:val="24"/>
        </w:rPr>
        <w:t>Current curriculum vitae following applicable sections of the PSU P</w:t>
      </w:r>
      <w:r w:rsidR="00DB1DE3" w:rsidRPr="00CF6C50">
        <w:rPr>
          <w:sz w:val="24"/>
          <w:shd w:val="clear" w:color="auto" w:fill="FF99FF"/>
        </w:rPr>
        <w:t>romotion and Tenure</w:t>
      </w:r>
      <w:r w:rsidRPr="006B18E4">
        <w:rPr>
          <w:sz w:val="24"/>
        </w:rPr>
        <w:t xml:space="preserve"> </w:t>
      </w:r>
      <w:r w:rsidRPr="006B18E4">
        <w:rPr>
          <w:sz w:val="24"/>
        </w:rPr>
        <w:t>format approved by the Provost;</w:t>
      </w:r>
    </w:p>
    <w:p w14:paraId="756B8A3E" w14:textId="77777777" w:rsidR="00002B34" w:rsidRPr="006B18E4" w:rsidRDefault="00002B34" w:rsidP="00B84E58">
      <w:pPr>
        <w:pStyle w:val="ListParagraph"/>
        <w:numPr>
          <w:ilvl w:val="0"/>
          <w:numId w:val="3"/>
        </w:numPr>
        <w:shd w:val="clear" w:color="auto" w:fill="FF99FF"/>
        <w:tabs>
          <w:tab w:val="left" w:pos="1260"/>
        </w:tabs>
        <w:rPr>
          <w:sz w:val="24"/>
        </w:rPr>
      </w:pPr>
      <w:r>
        <w:rPr>
          <w:sz w:val="24"/>
        </w:rPr>
        <w:t xml:space="preserve"> Appropriate and relevant quantitative and/or qualitative summaries of student evaluations as defined for this purpose by the department (i.e., mean and standard deviation, or median and interquartile range), or appropriate assessments of teaching since the last review; </w:t>
      </w:r>
    </w:p>
    <w:p w14:paraId="39A3653C" w14:textId="77777777" w:rsidR="00BE1E6B" w:rsidRPr="004412F3" w:rsidRDefault="00BE1E6B" w:rsidP="00002B34">
      <w:pPr>
        <w:pStyle w:val="ListParagraph"/>
        <w:numPr>
          <w:ilvl w:val="0"/>
          <w:numId w:val="3"/>
        </w:numPr>
        <w:shd w:val="clear" w:color="auto" w:fill="FF99FF"/>
        <w:tabs>
          <w:tab w:val="left" w:pos="1260"/>
        </w:tabs>
        <w:rPr>
          <w:sz w:val="24"/>
        </w:rPr>
      </w:pPr>
      <w:r w:rsidRPr="004412F3">
        <w:rPr>
          <w:sz w:val="24"/>
        </w:rPr>
        <w:t>Syllabi and/or other pedagogical materials from the review period.</w:t>
      </w:r>
    </w:p>
    <w:p w14:paraId="4C6F7A40" w14:textId="77777777" w:rsidR="00AE13D1" w:rsidRDefault="00AE13D1" w:rsidP="00B84E58">
      <w:pPr>
        <w:pStyle w:val="ListParagraph"/>
        <w:shd w:val="clear" w:color="auto" w:fill="FFFFFF" w:themeFill="background1"/>
        <w:tabs>
          <w:tab w:val="left" w:pos="1260"/>
        </w:tabs>
        <w:ind w:left="1440"/>
        <w:rPr>
          <w:b/>
          <w:sz w:val="24"/>
          <w:highlight w:val="yellow"/>
          <w:shd w:val="clear" w:color="auto" w:fill="C9F296" w:themeFill="accent3" w:themeFillTint="99"/>
        </w:rPr>
      </w:pPr>
    </w:p>
    <w:p w14:paraId="6BB1BFB7" w14:textId="77777777" w:rsidR="00AE13D1" w:rsidRPr="00AE13D1" w:rsidRDefault="00AE13D1" w:rsidP="009E7330">
      <w:pPr>
        <w:pStyle w:val="ListParagraph"/>
        <w:shd w:val="clear" w:color="auto" w:fill="FFFFFF" w:themeFill="background1"/>
        <w:tabs>
          <w:tab w:val="left" w:pos="1260"/>
        </w:tabs>
        <w:outlineLvl w:val="0"/>
        <w:rPr>
          <w:b/>
          <w:sz w:val="24"/>
        </w:rPr>
      </w:pPr>
      <w:r w:rsidRPr="00AE13D1">
        <w:rPr>
          <w:b/>
          <w:sz w:val="24"/>
          <w:highlight w:val="yellow"/>
        </w:rPr>
        <w:t>Department may add other requirements as appropriate.</w:t>
      </w:r>
    </w:p>
    <w:p w14:paraId="1D14C0D9" w14:textId="77777777" w:rsidR="00F03E5C" w:rsidRPr="006B18E4" w:rsidRDefault="00DB1DE3" w:rsidP="00B84E58">
      <w:pPr>
        <w:shd w:val="clear" w:color="auto" w:fill="FFFFFF" w:themeFill="background1"/>
        <w:tabs>
          <w:tab w:val="left" w:pos="1260"/>
          <w:tab w:val="left" w:pos="6960"/>
        </w:tabs>
        <w:ind w:left="720"/>
        <w:rPr>
          <w:b/>
          <w:sz w:val="24"/>
        </w:rPr>
      </w:pPr>
      <w:r w:rsidRPr="00CF6C50">
        <w:rPr>
          <w:b/>
          <w:sz w:val="24"/>
          <w:shd w:val="clear" w:color="auto" w:fill="FF99FF"/>
        </w:rPr>
        <w:t>Annual</w:t>
      </w:r>
      <w:r>
        <w:rPr>
          <w:b/>
          <w:sz w:val="24"/>
          <w:shd w:val="clear" w:color="auto" w:fill="FF99FF"/>
        </w:rPr>
        <w:t xml:space="preserve"> </w:t>
      </w:r>
      <w:r w:rsidR="00B56D51">
        <w:rPr>
          <w:b/>
          <w:sz w:val="24"/>
          <w:shd w:val="clear" w:color="auto" w:fill="FF99FF"/>
        </w:rPr>
        <w:t xml:space="preserve">Review </w:t>
      </w:r>
      <w:r w:rsidR="00BE1E6B" w:rsidRPr="00AE13D1">
        <w:rPr>
          <w:b/>
          <w:sz w:val="24"/>
          <w:shd w:val="clear" w:color="auto" w:fill="FF99FF"/>
        </w:rPr>
        <w:t xml:space="preserve">Submission </w:t>
      </w:r>
      <w:r w:rsidR="00F03E5C" w:rsidRPr="00AE13D1">
        <w:rPr>
          <w:b/>
          <w:sz w:val="24"/>
          <w:shd w:val="clear" w:color="auto" w:fill="FF99FF"/>
        </w:rPr>
        <w:t xml:space="preserve">Materials submitted by the faculty member </w:t>
      </w:r>
      <w:r w:rsidR="00F03E5C" w:rsidRPr="00AE13D1">
        <w:rPr>
          <w:b/>
          <w:sz w:val="24"/>
          <w:u w:val="single"/>
          <w:shd w:val="clear" w:color="auto" w:fill="FF99FF"/>
        </w:rPr>
        <w:t>may</w:t>
      </w:r>
      <w:r w:rsidR="00F03E5C" w:rsidRPr="00AE13D1">
        <w:rPr>
          <w:b/>
          <w:sz w:val="24"/>
          <w:shd w:val="clear" w:color="auto" w:fill="FF99FF"/>
        </w:rPr>
        <w:t xml:space="preserve"> include, but are not limited to</w:t>
      </w:r>
      <w:r w:rsidR="006B462B" w:rsidRPr="006B18E4">
        <w:rPr>
          <w:b/>
          <w:sz w:val="24"/>
        </w:rPr>
        <w:t>:</w:t>
      </w:r>
    </w:p>
    <w:p w14:paraId="403717EE" w14:textId="77777777" w:rsidR="00F03E5C" w:rsidRPr="006B18E4" w:rsidRDefault="00F03E5C" w:rsidP="00B84E58">
      <w:pPr>
        <w:pStyle w:val="ListParagraph"/>
        <w:numPr>
          <w:ilvl w:val="0"/>
          <w:numId w:val="4"/>
        </w:numPr>
        <w:shd w:val="clear" w:color="auto" w:fill="FF99FF"/>
        <w:tabs>
          <w:tab w:val="left" w:pos="1260"/>
          <w:tab w:val="left" w:pos="6960"/>
        </w:tabs>
        <w:rPr>
          <w:sz w:val="24"/>
        </w:rPr>
      </w:pPr>
      <w:r w:rsidRPr="006B18E4">
        <w:rPr>
          <w:sz w:val="24"/>
        </w:rPr>
        <w:t>Peer evaluation of teaching and curricular innovation;</w:t>
      </w:r>
    </w:p>
    <w:p w14:paraId="1C9DC9CC" w14:textId="77777777" w:rsidR="00F03E5C" w:rsidRPr="006B18E4" w:rsidRDefault="00F03E5C" w:rsidP="00DB1DE3">
      <w:pPr>
        <w:pStyle w:val="ListParagraph"/>
        <w:numPr>
          <w:ilvl w:val="0"/>
          <w:numId w:val="4"/>
        </w:numPr>
        <w:shd w:val="clear" w:color="auto" w:fill="FF99FF"/>
        <w:tabs>
          <w:tab w:val="left" w:pos="1260"/>
          <w:tab w:val="left" w:pos="6960"/>
        </w:tabs>
        <w:ind w:left="1260" w:hanging="180"/>
        <w:rPr>
          <w:sz w:val="24"/>
        </w:rPr>
      </w:pPr>
      <w:r w:rsidRPr="006B18E4">
        <w:rPr>
          <w:sz w:val="24"/>
        </w:rPr>
        <w:t>Description of professional development activities intended to advance job performance;</w:t>
      </w:r>
    </w:p>
    <w:p w14:paraId="6C5363C2" w14:textId="77777777" w:rsidR="00F03E5C" w:rsidRPr="006B18E4" w:rsidRDefault="00F03E5C" w:rsidP="00B84E58">
      <w:pPr>
        <w:pStyle w:val="ListParagraph"/>
        <w:numPr>
          <w:ilvl w:val="0"/>
          <w:numId w:val="4"/>
        </w:numPr>
        <w:shd w:val="clear" w:color="auto" w:fill="FF99FF"/>
        <w:tabs>
          <w:tab w:val="left" w:pos="1260"/>
          <w:tab w:val="left" w:pos="6960"/>
        </w:tabs>
        <w:rPr>
          <w:sz w:val="24"/>
        </w:rPr>
      </w:pPr>
      <w:r w:rsidRPr="006B18E4">
        <w:rPr>
          <w:sz w:val="24"/>
        </w:rPr>
        <w:t>A reflective analysis of student and/or peer evaluations of teaching;</w:t>
      </w:r>
    </w:p>
    <w:p w14:paraId="562702B6" w14:textId="77777777" w:rsidR="00F03E5C" w:rsidRPr="006B18E4" w:rsidRDefault="00F03E5C" w:rsidP="00B84E58">
      <w:pPr>
        <w:pStyle w:val="ListParagraph"/>
        <w:numPr>
          <w:ilvl w:val="0"/>
          <w:numId w:val="4"/>
        </w:numPr>
        <w:shd w:val="clear" w:color="auto" w:fill="FF99FF"/>
        <w:tabs>
          <w:tab w:val="left" w:pos="1260"/>
          <w:tab w:val="left" w:pos="6960"/>
        </w:tabs>
        <w:rPr>
          <w:sz w:val="24"/>
        </w:rPr>
      </w:pPr>
      <w:r w:rsidRPr="006B18E4">
        <w:rPr>
          <w:sz w:val="24"/>
        </w:rPr>
        <w:t>Evidence of scholarly activities, beyond the classroom, as defined by the discipline;</w:t>
      </w:r>
    </w:p>
    <w:p w14:paraId="319FD610" w14:textId="77777777" w:rsidR="00F03E5C" w:rsidRPr="006B18E4" w:rsidRDefault="00F03E5C" w:rsidP="00DB1DE3">
      <w:pPr>
        <w:pStyle w:val="ListParagraph"/>
        <w:numPr>
          <w:ilvl w:val="0"/>
          <w:numId w:val="4"/>
        </w:numPr>
        <w:shd w:val="clear" w:color="auto" w:fill="FF99FF"/>
        <w:tabs>
          <w:tab w:val="left" w:pos="1260"/>
          <w:tab w:val="left" w:pos="6960"/>
        </w:tabs>
        <w:ind w:left="1260" w:hanging="180"/>
        <w:rPr>
          <w:sz w:val="24"/>
        </w:rPr>
      </w:pPr>
      <w:r w:rsidRPr="006B18E4">
        <w:rPr>
          <w:sz w:val="24"/>
        </w:rPr>
        <w:t>Evidence of ability to work effectively with individuals from and topics related to diverse populations, and</w:t>
      </w:r>
    </w:p>
    <w:p w14:paraId="5BE3E466" w14:textId="77777777" w:rsidR="00F03E5C" w:rsidRPr="006B18E4" w:rsidRDefault="00F03E5C" w:rsidP="00B84E58">
      <w:pPr>
        <w:pStyle w:val="ListParagraph"/>
        <w:numPr>
          <w:ilvl w:val="0"/>
          <w:numId w:val="4"/>
        </w:numPr>
        <w:shd w:val="clear" w:color="auto" w:fill="FF99FF"/>
        <w:tabs>
          <w:tab w:val="left" w:pos="1260"/>
          <w:tab w:val="left" w:pos="6960"/>
        </w:tabs>
        <w:rPr>
          <w:sz w:val="24"/>
        </w:rPr>
      </w:pPr>
      <w:r w:rsidRPr="006B18E4">
        <w:rPr>
          <w:sz w:val="24"/>
        </w:rPr>
        <w:t>Evidence of service activities related to unit mission.</w:t>
      </w:r>
    </w:p>
    <w:p w14:paraId="50BE0CEC" w14:textId="77777777" w:rsidR="00AE13D1" w:rsidRPr="00AE13D1" w:rsidRDefault="00AE13D1" w:rsidP="009E7330">
      <w:pPr>
        <w:shd w:val="clear" w:color="auto" w:fill="FFFFFF" w:themeFill="background1"/>
        <w:tabs>
          <w:tab w:val="left" w:pos="1260"/>
        </w:tabs>
        <w:outlineLvl w:val="0"/>
        <w:rPr>
          <w:b/>
          <w:sz w:val="24"/>
        </w:rPr>
      </w:pPr>
      <w:r>
        <w:rPr>
          <w:b/>
          <w:sz w:val="24"/>
        </w:rPr>
        <w:tab/>
      </w:r>
      <w:r w:rsidRPr="00AE13D1">
        <w:rPr>
          <w:b/>
          <w:sz w:val="24"/>
          <w:highlight w:val="yellow"/>
        </w:rPr>
        <w:t>Department may add other requirements as appropriate</w:t>
      </w:r>
      <w:r w:rsidRPr="00AE13D1">
        <w:rPr>
          <w:b/>
          <w:sz w:val="24"/>
        </w:rPr>
        <w:t>.</w:t>
      </w:r>
    </w:p>
    <w:p w14:paraId="26029AD8" w14:textId="7064661A" w:rsidR="00D3444C" w:rsidRPr="00DE5D48" w:rsidRDefault="00313B2D" w:rsidP="00313B2D">
      <w:pPr>
        <w:shd w:val="clear" w:color="auto" w:fill="FFFFFF" w:themeFill="background1"/>
        <w:outlineLvl w:val="0"/>
        <w:rPr>
          <w:b/>
          <w:sz w:val="20"/>
        </w:rPr>
      </w:pPr>
      <w:r>
        <w:rPr>
          <w:b/>
          <w:sz w:val="24"/>
        </w:rPr>
        <w:tab/>
      </w:r>
      <w:r w:rsidR="00D3444C" w:rsidRPr="00DE5D48">
        <w:rPr>
          <w:b/>
          <w:sz w:val="24"/>
        </w:rPr>
        <w:t>F.</w:t>
      </w:r>
      <w:r>
        <w:rPr>
          <w:b/>
          <w:sz w:val="24"/>
        </w:rPr>
        <w:t xml:space="preserve"> </w:t>
      </w:r>
      <w:r w:rsidR="00D3444C" w:rsidRPr="00DE5D48">
        <w:rPr>
          <w:b/>
          <w:sz w:val="24"/>
        </w:rPr>
        <w:t>Timing for Continuous Employment Consideration and Appointment</w:t>
      </w:r>
    </w:p>
    <w:p w14:paraId="4CFB1387" w14:textId="77777777" w:rsidR="00D3444C" w:rsidRPr="006B18E4" w:rsidRDefault="00D3444C" w:rsidP="00B84E58">
      <w:pPr>
        <w:shd w:val="clear" w:color="auto" w:fill="FFFFFF" w:themeFill="background1"/>
        <w:tabs>
          <w:tab w:val="left" w:pos="1260"/>
          <w:tab w:val="left" w:pos="6960"/>
        </w:tabs>
        <w:ind w:left="720"/>
        <w:rPr>
          <w:sz w:val="24"/>
        </w:rPr>
      </w:pPr>
      <w:r w:rsidRPr="00AE13D1">
        <w:rPr>
          <w:sz w:val="24"/>
          <w:shd w:val="clear" w:color="auto" w:fill="FF99FF"/>
        </w:rPr>
        <w:t>In year six (6) of the probationary period, NTT instructional faculty members are to be evaluated for continuous appointment through a Milestone Review.  Prior to the end of the final academic year of the probationary period, a NTT instructional faculty member is to be awarded a continuous appointment or provided twelve (12) months’ notice of termination of employment</w:t>
      </w:r>
      <w:r w:rsidRPr="006B18E4">
        <w:rPr>
          <w:sz w:val="24"/>
        </w:rPr>
        <w:t>.</w:t>
      </w:r>
    </w:p>
    <w:p w14:paraId="572911AF" w14:textId="77777777" w:rsidR="00D3444C" w:rsidRPr="00DE5D48" w:rsidRDefault="00313B2D" w:rsidP="00313B2D">
      <w:pPr>
        <w:shd w:val="clear" w:color="auto" w:fill="FFFFFF" w:themeFill="background1"/>
        <w:tabs>
          <w:tab w:val="left" w:pos="720"/>
          <w:tab w:val="left" w:pos="6960"/>
        </w:tabs>
        <w:outlineLvl w:val="0"/>
      </w:pPr>
      <w:r>
        <w:rPr>
          <w:b/>
          <w:sz w:val="24"/>
        </w:rPr>
        <w:tab/>
      </w:r>
      <w:r w:rsidR="00DB5CD1" w:rsidRPr="00DE5D48">
        <w:rPr>
          <w:b/>
          <w:sz w:val="24"/>
        </w:rPr>
        <w:t>G.</w:t>
      </w:r>
      <w:r>
        <w:rPr>
          <w:b/>
          <w:sz w:val="24"/>
        </w:rPr>
        <w:t xml:space="preserve"> </w:t>
      </w:r>
      <w:r w:rsidR="00DB5CD1" w:rsidRPr="00DE5D48">
        <w:rPr>
          <w:b/>
          <w:sz w:val="24"/>
        </w:rPr>
        <w:t>Milestone Review for Continuous Employment</w:t>
      </w:r>
    </w:p>
    <w:p w14:paraId="5D985923" w14:textId="77777777" w:rsidR="00DB5CD1" w:rsidRPr="006B18E4" w:rsidRDefault="00DB5CD1" w:rsidP="00B84E58">
      <w:pPr>
        <w:shd w:val="clear" w:color="auto" w:fill="FFFFFF" w:themeFill="background1"/>
        <w:tabs>
          <w:tab w:val="left" w:pos="1260"/>
          <w:tab w:val="left" w:pos="6960"/>
        </w:tabs>
        <w:ind w:left="720"/>
        <w:rPr>
          <w:sz w:val="24"/>
        </w:rPr>
      </w:pPr>
      <w:r w:rsidRPr="00AE13D1">
        <w:rPr>
          <w:sz w:val="24"/>
          <w:shd w:val="clear" w:color="auto" w:fill="FF99FF"/>
        </w:rPr>
        <w:t>Milestone reviews provide a way to honor and reward a sustained record of commitment and achievement.  A milestone review that looks both backward and forward is appropriate when considering the award of continuous appointment.  When the review is clear and consistent, it supports academic freedom and contributes to academic quality</w:t>
      </w:r>
      <w:r w:rsidRPr="006B18E4">
        <w:rPr>
          <w:sz w:val="24"/>
        </w:rPr>
        <w:t>.</w:t>
      </w:r>
    </w:p>
    <w:p w14:paraId="38A08981" w14:textId="56ADE303" w:rsidR="00B76512" w:rsidRPr="002B4D91" w:rsidRDefault="002B4D91" w:rsidP="00B84E58">
      <w:pPr>
        <w:shd w:val="clear" w:color="auto" w:fill="FFFFFF" w:themeFill="background1"/>
        <w:tabs>
          <w:tab w:val="left" w:pos="1260"/>
          <w:tab w:val="left" w:pos="6960"/>
        </w:tabs>
        <w:ind w:left="720"/>
      </w:pPr>
      <w:r w:rsidRPr="00CF6C50">
        <w:rPr>
          <w:sz w:val="24"/>
          <w:szCs w:val="24"/>
          <w:shd w:val="clear" w:color="auto" w:fill="C9F296" w:themeFill="accent3" w:themeFillTint="99"/>
        </w:rPr>
        <w:lastRenderedPageBreak/>
        <w:t xml:space="preserve">Describe how the department will establish </w:t>
      </w:r>
      <w:r w:rsidR="00313B2D" w:rsidRPr="00CF6C50">
        <w:rPr>
          <w:sz w:val="24"/>
          <w:szCs w:val="24"/>
          <w:shd w:val="clear" w:color="auto" w:fill="C9F296" w:themeFill="accent3" w:themeFillTint="99"/>
        </w:rPr>
        <w:t xml:space="preserve">and maintain </w:t>
      </w:r>
      <w:r w:rsidR="00B84E58" w:rsidRPr="002B4D91">
        <w:rPr>
          <w:sz w:val="24"/>
          <w:szCs w:val="24"/>
          <w:shd w:val="clear" w:color="auto" w:fill="C9F296" w:themeFill="accent3" w:themeFillTint="99"/>
        </w:rPr>
        <w:t xml:space="preserve">guidelines for a </w:t>
      </w:r>
      <w:r w:rsidR="00882BA2" w:rsidRPr="002B4D91">
        <w:rPr>
          <w:sz w:val="24"/>
          <w:szCs w:val="24"/>
          <w:shd w:val="clear" w:color="auto" w:fill="C9F296" w:themeFill="accent3" w:themeFillTint="99"/>
        </w:rPr>
        <w:t>Milestone Review</w:t>
      </w:r>
      <w:r w:rsidR="0060501B" w:rsidRPr="002B4D91">
        <w:rPr>
          <w:sz w:val="24"/>
          <w:szCs w:val="24"/>
          <w:shd w:val="clear" w:color="auto" w:fill="C9F296" w:themeFill="accent3" w:themeFillTint="99"/>
        </w:rPr>
        <w:t xml:space="preserve"> for Continuous Appointment of NTT instructional faculty members that are consistent with the guidelines developed by Faculty Senate</w:t>
      </w:r>
      <w:r w:rsidR="00B76512" w:rsidRPr="002B4D91">
        <w:rPr>
          <w:sz w:val="24"/>
          <w:szCs w:val="24"/>
        </w:rPr>
        <w:t>.</w:t>
      </w:r>
      <w:r w:rsidR="00B76512" w:rsidRPr="00F21F69">
        <w:rPr>
          <w:sz w:val="24"/>
          <w:szCs w:val="24"/>
        </w:rPr>
        <w:t xml:space="preserve">  </w:t>
      </w:r>
    </w:p>
    <w:p w14:paraId="01C7E206" w14:textId="77777777" w:rsidR="00B76512" w:rsidRPr="006B18E4" w:rsidRDefault="00B76512" w:rsidP="009E7330">
      <w:pPr>
        <w:shd w:val="clear" w:color="auto" w:fill="FFFFFF" w:themeFill="background1"/>
        <w:tabs>
          <w:tab w:val="left" w:pos="1260"/>
          <w:tab w:val="left" w:pos="6960"/>
        </w:tabs>
        <w:ind w:left="720"/>
        <w:outlineLvl w:val="0"/>
        <w:rPr>
          <w:b/>
          <w:sz w:val="24"/>
        </w:rPr>
      </w:pPr>
      <w:r w:rsidRPr="00B84E58">
        <w:rPr>
          <w:b/>
          <w:sz w:val="24"/>
          <w:shd w:val="clear" w:color="auto" w:fill="DBF6B9" w:themeFill="accent3" w:themeFillTint="66"/>
        </w:rPr>
        <w:t>The departmental guidelines must, at a minimum</w:t>
      </w:r>
      <w:r w:rsidRPr="006B18E4">
        <w:rPr>
          <w:b/>
          <w:sz w:val="24"/>
        </w:rPr>
        <w:t>:</w:t>
      </w:r>
    </w:p>
    <w:p w14:paraId="6C36B095" w14:textId="77777777" w:rsidR="00B76512" w:rsidRPr="006B18E4" w:rsidRDefault="00B76512" w:rsidP="00B84E58">
      <w:pPr>
        <w:pStyle w:val="ListParagraph"/>
        <w:numPr>
          <w:ilvl w:val="0"/>
          <w:numId w:val="5"/>
        </w:numPr>
        <w:shd w:val="clear" w:color="auto" w:fill="C9F296" w:themeFill="accent3" w:themeFillTint="99"/>
        <w:tabs>
          <w:tab w:val="left" w:pos="1260"/>
          <w:tab w:val="left" w:pos="6960"/>
        </w:tabs>
        <w:rPr>
          <w:sz w:val="24"/>
        </w:rPr>
      </w:pPr>
      <w:r w:rsidRPr="006B18E4">
        <w:rPr>
          <w:sz w:val="24"/>
        </w:rPr>
        <w:t>Be in writing and made available to members;</w:t>
      </w:r>
    </w:p>
    <w:p w14:paraId="09212B03" w14:textId="08CB2047" w:rsidR="00B76512" w:rsidRPr="006B18E4" w:rsidRDefault="00B76512" w:rsidP="00722E7B">
      <w:pPr>
        <w:pStyle w:val="ListParagraph"/>
        <w:numPr>
          <w:ilvl w:val="0"/>
          <w:numId w:val="2"/>
        </w:numPr>
        <w:shd w:val="clear" w:color="auto" w:fill="C9F296" w:themeFill="accent3" w:themeFillTint="99"/>
        <w:tabs>
          <w:tab w:val="left" w:pos="1260"/>
        </w:tabs>
        <w:ind w:left="1260" w:hanging="180"/>
        <w:rPr>
          <w:sz w:val="24"/>
        </w:rPr>
      </w:pPr>
      <w:r w:rsidRPr="006B18E4">
        <w:rPr>
          <w:sz w:val="24"/>
        </w:rPr>
        <w:t>Require each department to identify the committee(s) responsible for the</w:t>
      </w:r>
      <w:r w:rsidR="00722E7B">
        <w:rPr>
          <w:sz w:val="24"/>
        </w:rPr>
        <w:t xml:space="preserve"> e</w:t>
      </w:r>
      <w:r w:rsidR="00B84933" w:rsidRPr="006B18E4">
        <w:rPr>
          <w:sz w:val="24"/>
        </w:rPr>
        <w:t>valuation</w:t>
      </w:r>
      <w:r w:rsidR="00722E7B">
        <w:rPr>
          <w:sz w:val="24"/>
        </w:rPr>
        <w:t>s;</w:t>
      </w:r>
    </w:p>
    <w:p w14:paraId="587BC544" w14:textId="77777777" w:rsidR="00B76512" w:rsidRPr="006B18E4" w:rsidRDefault="00B76512" w:rsidP="00B84E58">
      <w:pPr>
        <w:pStyle w:val="ListParagraph"/>
        <w:numPr>
          <w:ilvl w:val="0"/>
          <w:numId w:val="2"/>
        </w:numPr>
        <w:shd w:val="clear" w:color="auto" w:fill="C9F296" w:themeFill="accent3" w:themeFillTint="99"/>
        <w:tabs>
          <w:tab w:val="left" w:pos="1260"/>
        </w:tabs>
        <w:rPr>
          <w:sz w:val="24"/>
        </w:rPr>
      </w:pPr>
      <w:r w:rsidRPr="006B18E4">
        <w:rPr>
          <w:sz w:val="24"/>
        </w:rPr>
        <w:t>Establish job-relevant evaluation criteria and require the criteria to be in writing;</w:t>
      </w:r>
    </w:p>
    <w:p w14:paraId="1F4B9DDE" w14:textId="77777777" w:rsidR="00B76512" w:rsidRPr="006B18E4" w:rsidRDefault="00B76512" w:rsidP="00722E7B">
      <w:pPr>
        <w:pStyle w:val="ListParagraph"/>
        <w:numPr>
          <w:ilvl w:val="0"/>
          <w:numId w:val="2"/>
        </w:numPr>
        <w:shd w:val="clear" w:color="auto" w:fill="C9F296" w:themeFill="accent3" w:themeFillTint="99"/>
        <w:tabs>
          <w:tab w:val="left" w:pos="1260"/>
        </w:tabs>
        <w:ind w:left="1260" w:hanging="180"/>
        <w:rPr>
          <w:sz w:val="24"/>
        </w:rPr>
      </w:pPr>
      <w:r w:rsidRPr="006B18E4">
        <w:rPr>
          <w:sz w:val="24"/>
        </w:rPr>
        <w:t>Provide that the results of the review be in writing and be provided to the member;</w:t>
      </w:r>
    </w:p>
    <w:p w14:paraId="32F41129" w14:textId="77777777" w:rsidR="00B76512" w:rsidRPr="006B18E4" w:rsidRDefault="00B76512" w:rsidP="00B84E58">
      <w:pPr>
        <w:pStyle w:val="ListParagraph"/>
        <w:numPr>
          <w:ilvl w:val="0"/>
          <w:numId w:val="2"/>
        </w:numPr>
        <w:shd w:val="clear" w:color="auto" w:fill="C9F296" w:themeFill="accent3" w:themeFillTint="99"/>
        <w:tabs>
          <w:tab w:val="left" w:pos="1260"/>
        </w:tabs>
        <w:rPr>
          <w:sz w:val="24"/>
        </w:rPr>
      </w:pPr>
      <w:r w:rsidRPr="006B18E4">
        <w:rPr>
          <w:sz w:val="24"/>
        </w:rPr>
        <w:t>Provide that the member is entitled to meet with the reviewers;</w:t>
      </w:r>
    </w:p>
    <w:p w14:paraId="58431E9F" w14:textId="77777777" w:rsidR="00B76512" w:rsidRPr="006B18E4" w:rsidRDefault="00B76512" w:rsidP="00722E7B">
      <w:pPr>
        <w:pStyle w:val="ListParagraph"/>
        <w:numPr>
          <w:ilvl w:val="0"/>
          <w:numId w:val="2"/>
        </w:numPr>
        <w:shd w:val="clear" w:color="auto" w:fill="C9F296" w:themeFill="accent3" w:themeFillTint="99"/>
        <w:tabs>
          <w:tab w:val="left" w:pos="1260"/>
        </w:tabs>
        <w:ind w:left="1260" w:hanging="180"/>
        <w:rPr>
          <w:sz w:val="24"/>
        </w:rPr>
      </w:pPr>
      <w:r w:rsidRPr="006B18E4">
        <w:rPr>
          <w:sz w:val="24"/>
        </w:rPr>
        <w:t>Provide that the member is able to respond to the review by submitting a statement or comments, that will be attached to the review;</w:t>
      </w:r>
    </w:p>
    <w:p w14:paraId="21FA939A" w14:textId="77777777" w:rsidR="00B76512" w:rsidRPr="006B18E4" w:rsidRDefault="00B76512" w:rsidP="00B84E58">
      <w:pPr>
        <w:pStyle w:val="ListParagraph"/>
        <w:numPr>
          <w:ilvl w:val="0"/>
          <w:numId w:val="2"/>
        </w:numPr>
        <w:shd w:val="clear" w:color="auto" w:fill="C9F296" w:themeFill="accent3" w:themeFillTint="99"/>
        <w:tabs>
          <w:tab w:val="left" w:pos="1260"/>
        </w:tabs>
        <w:rPr>
          <w:sz w:val="24"/>
        </w:rPr>
      </w:pPr>
      <w:r w:rsidRPr="006B18E4">
        <w:rPr>
          <w:sz w:val="24"/>
        </w:rPr>
        <w:t>Provide that the member may submit relevant materials to the reviewers;</w:t>
      </w:r>
    </w:p>
    <w:p w14:paraId="24FD4C9E" w14:textId="77777777" w:rsidR="00B76512" w:rsidRPr="006B18E4" w:rsidRDefault="00B76512" w:rsidP="00722E7B">
      <w:pPr>
        <w:pStyle w:val="ListParagraph"/>
        <w:numPr>
          <w:ilvl w:val="0"/>
          <w:numId w:val="2"/>
        </w:numPr>
        <w:shd w:val="clear" w:color="auto" w:fill="C9F296" w:themeFill="accent3" w:themeFillTint="99"/>
        <w:tabs>
          <w:tab w:val="left" w:pos="1260"/>
        </w:tabs>
        <w:ind w:left="1260" w:hanging="180"/>
        <w:rPr>
          <w:sz w:val="24"/>
        </w:rPr>
      </w:pPr>
      <w:r w:rsidRPr="006B18E4">
        <w:rPr>
          <w:sz w:val="24"/>
        </w:rPr>
        <w:t>Provide that the member may request a review if one has not been provided within the time period provided for by the guidelines;</w:t>
      </w:r>
    </w:p>
    <w:p w14:paraId="247122CA" w14:textId="77777777" w:rsidR="00B76512" w:rsidRPr="006B18E4" w:rsidRDefault="00B76512" w:rsidP="00B84E58">
      <w:pPr>
        <w:pStyle w:val="ListParagraph"/>
        <w:numPr>
          <w:ilvl w:val="0"/>
          <w:numId w:val="2"/>
        </w:numPr>
        <w:shd w:val="clear" w:color="auto" w:fill="C9F296" w:themeFill="accent3" w:themeFillTint="99"/>
        <w:tabs>
          <w:tab w:val="left" w:pos="1260"/>
        </w:tabs>
        <w:rPr>
          <w:sz w:val="24"/>
        </w:rPr>
      </w:pPr>
      <w:r w:rsidRPr="006B18E4">
        <w:rPr>
          <w:sz w:val="24"/>
        </w:rPr>
        <w:t>Provide that the member is to have reasonable notice of the evaluation;</w:t>
      </w:r>
    </w:p>
    <w:p w14:paraId="23506D9C" w14:textId="77777777" w:rsidR="00B76512" w:rsidRPr="006B18E4" w:rsidRDefault="00B76512" w:rsidP="00722E7B">
      <w:pPr>
        <w:pStyle w:val="ListParagraph"/>
        <w:numPr>
          <w:ilvl w:val="0"/>
          <w:numId w:val="2"/>
        </w:numPr>
        <w:shd w:val="clear" w:color="auto" w:fill="C9F296" w:themeFill="accent3" w:themeFillTint="99"/>
        <w:tabs>
          <w:tab w:val="left" w:pos="1260"/>
        </w:tabs>
        <w:ind w:left="1260" w:hanging="180"/>
        <w:rPr>
          <w:sz w:val="24"/>
        </w:rPr>
      </w:pPr>
      <w:r w:rsidRPr="006B18E4">
        <w:rPr>
          <w:sz w:val="24"/>
        </w:rPr>
        <w:t>In a department with more than one NTT instructional faculty member, provide that at least one NTT instructional faculty member will be on the review committee; and</w:t>
      </w:r>
    </w:p>
    <w:p w14:paraId="5F89C56C" w14:textId="77777777" w:rsidR="00B76512" w:rsidRPr="006B18E4" w:rsidRDefault="00B76512" w:rsidP="00722E7B">
      <w:pPr>
        <w:pStyle w:val="ListParagraph"/>
        <w:numPr>
          <w:ilvl w:val="0"/>
          <w:numId w:val="2"/>
        </w:numPr>
        <w:shd w:val="clear" w:color="auto" w:fill="C9F296" w:themeFill="accent3" w:themeFillTint="99"/>
        <w:tabs>
          <w:tab w:val="left" w:pos="1260"/>
        </w:tabs>
        <w:ind w:left="1260" w:hanging="180"/>
        <w:rPr>
          <w:sz w:val="24"/>
        </w:rPr>
      </w:pPr>
      <w:r w:rsidRPr="006B18E4">
        <w:rPr>
          <w:sz w:val="24"/>
        </w:rPr>
        <w:t>In the event a department has only one NTT instructional faculty who is being reviewed, the department will add an NTT instructional faculty member from another unit in the school or college, or another school or college if necessary.</w:t>
      </w:r>
    </w:p>
    <w:p w14:paraId="4367B293" w14:textId="77777777" w:rsidR="00397B93" w:rsidRPr="00AE13D1" w:rsidRDefault="00397B93" w:rsidP="009E7330">
      <w:pPr>
        <w:shd w:val="clear" w:color="auto" w:fill="FFFFFF" w:themeFill="background1"/>
        <w:tabs>
          <w:tab w:val="left" w:pos="1260"/>
        </w:tabs>
        <w:outlineLvl w:val="0"/>
        <w:rPr>
          <w:b/>
          <w:sz w:val="24"/>
        </w:rPr>
      </w:pPr>
      <w:r>
        <w:rPr>
          <w:b/>
          <w:sz w:val="24"/>
        </w:rPr>
        <w:tab/>
      </w:r>
      <w:r w:rsidRPr="00AE13D1">
        <w:rPr>
          <w:b/>
          <w:sz w:val="24"/>
          <w:highlight w:val="yellow"/>
        </w:rPr>
        <w:t>Department may add other requirements as appropriate</w:t>
      </w:r>
      <w:r w:rsidRPr="00AE13D1">
        <w:rPr>
          <w:b/>
          <w:sz w:val="24"/>
        </w:rPr>
        <w:t>.</w:t>
      </w:r>
    </w:p>
    <w:p w14:paraId="7C3A9248" w14:textId="77777777" w:rsidR="00C178D7" w:rsidRDefault="00E205BD" w:rsidP="00CF6C50">
      <w:pPr>
        <w:shd w:val="clear" w:color="auto" w:fill="FF99FF"/>
        <w:tabs>
          <w:tab w:val="left" w:pos="1260"/>
        </w:tabs>
        <w:ind w:left="720"/>
        <w:rPr>
          <w:sz w:val="24"/>
        </w:rPr>
      </w:pPr>
      <w:r w:rsidRPr="00CF6C50">
        <w:rPr>
          <w:sz w:val="24"/>
        </w:rPr>
        <w:t>A significant factor in determining an NTT instructional faculty member’s performance is the individual’s accomplishments in teaching, mentoring, and curricular activities, consistent with the faculty member’s contractual responsibilities. Teaching activities are scholarly functions that directly serve learners within or outside the university. Scholars who teach must be intellectually engaged and must demonstrate mastery of the knowledge in their field(s). The ability to lecture and lead discussions, to create a variety of learning opportunities, to draw out students and arouse curiosity in beginners, to stimulate advanced students to engage in creative work, to organize logically, to evaluate critically the materials related to one’s field of specialization, to assess student performance, and to excite students to extend learning beyond a particular course and understand its contribution to a body of knowledge are all recognized as essential to excellence in teaching. Teaching scholars often study pedagogical methods t</w:t>
      </w:r>
      <w:r w:rsidR="00C178D7">
        <w:rPr>
          <w:sz w:val="24"/>
        </w:rPr>
        <w:t>hat improve student learning.</w:t>
      </w:r>
    </w:p>
    <w:p w14:paraId="6E0ACF09" w14:textId="77777777" w:rsidR="00E205BD" w:rsidRPr="00CF6C50" w:rsidRDefault="00E205BD" w:rsidP="00CF6C50">
      <w:pPr>
        <w:shd w:val="clear" w:color="auto" w:fill="FF99FF"/>
        <w:tabs>
          <w:tab w:val="left" w:pos="1260"/>
        </w:tabs>
        <w:ind w:left="720"/>
        <w:rPr>
          <w:sz w:val="24"/>
        </w:rPr>
      </w:pPr>
      <w:r w:rsidRPr="00CF6C50">
        <w:rPr>
          <w:sz w:val="24"/>
        </w:rPr>
        <w:lastRenderedPageBreak/>
        <w:t xml:space="preserve">The Milestone Review of teaching and curricular contributions should not be limited to classroom activities. It also should focus on a faculty member’s contributions to larger curricular goals (for example, the role of a course in laying foundations for other courses and its contribution to majors, or contributions to broad aspects of general education or interdisciplinary components of the curriculum).16 In addition, the Milestone Review should take into account any documentation of student mentoring, academic advising, thesis advising, and dissertation advising. The Review Committee shall take into account any variations in the letters of appointment during the probationary period. </w:t>
      </w:r>
    </w:p>
    <w:p w14:paraId="2FB58847" w14:textId="77777777" w:rsidR="00B76512" w:rsidRPr="006B18E4" w:rsidRDefault="00397B93" w:rsidP="00B84E58">
      <w:pPr>
        <w:shd w:val="clear" w:color="auto" w:fill="FFFFFF" w:themeFill="background1"/>
        <w:tabs>
          <w:tab w:val="left" w:pos="1260"/>
        </w:tabs>
        <w:ind w:left="720"/>
        <w:rPr>
          <w:sz w:val="24"/>
        </w:rPr>
      </w:pPr>
      <w:r w:rsidRPr="00397B93">
        <w:rPr>
          <w:b/>
          <w:sz w:val="24"/>
          <w:shd w:val="clear" w:color="auto" w:fill="FF99FF"/>
        </w:rPr>
        <w:t>The</w:t>
      </w:r>
      <w:r w:rsidR="000A484E" w:rsidRPr="00397B93">
        <w:rPr>
          <w:b/>
          <w:sz w:val="24"/>
          <w:shd w:val="clear" w:color="auto" w:fill="FF99FF"/>
        </w:rPr>
        <w:t xml:space="preserve"> Milestone Review Materials submitted by the faculty member should, at minimum, include the following</w:t>
      </w:r>
      <w:r w:rsidR="000A484E" w:rsidRPr="006B18E4">
        <w:rPr>
          <w:b/>
          <w:sz w:val="24"/>
        </w:rPr>
        <w:t>:</w:t>
      </w:r>
    </w:p>
    <w:p w14:paraId="6239D6F2" w14:textId="77777777" w:rsidR="000A484E" w:rsidRPr="006B18E4" w:rsidRDefault="000A484E" w:rsidP="00B81B10">
      <w:pPr>
        <w:pStyle w:val="ListParagraph"/>
        <w:numPr>
          <w:ilvl w:val="0"/>
          <w:numId w:val="6"/>
        </w:numPr>
        <w:shd w:val="clear" w:color="auto" w:fill="FF99FF"/>
        <w:tabs>
          <w:tab w:val="left" w:pos="1260"/>
        </w:tabs>
        <w:ind w:left="1260" w:hanging="180"/>
        <w:rPr>
          <w:sz w:val="24"/>
        </w:rPr>
      </w:pPr>
      <w:r w:rsidRPr="006B18E4">
        <w:rPr>
          <w:sz w:val="24"/>
        </w:rPr>
        <w:t>A cumulative self-appraisal that reflects the areas of work as described in the NTT instructional faculty member’s job description and highlights activities and achievement;</w:t>
      </w:r>
    </w:p>
    <w:p w14:paraId="5FF7E2DF" w14:textId="65D05884" w:rsidR="000A484E" w:rsidRPr="006B18E4" w:rsidRDefault="000A484E" w:rsidP="00B81B10">
      <w:pPr>
        <w:pStyle w:val="ListParagraph"/>
        <w:numPr>
          <w:ilvl w:val="0"/>
          <w:numId w:val="6"/>
        </w:numPr>
        <w:shd w:val="clear" w:color="auto" w:fill="FF99FF"/>
        <w:tabs>
          <w:tab w:val="left" w:pos="1260"/>
        </w:tabs>
        <w:ind w:left="1260" w:hanging="180"/>
        <w:rPr>
          <w:sz w:val="24"/>
        </w:rPr>
      </w:pPr>
      <w:r w:rsidRPr="006B18E4">
        <w:rPr>
          <w:sz w:val="24"/>
        </w:rPr>
        <w:t xml:space="preserve">Current curriculum vitae following applicable sections of the PSU </w:t>
      </w:r>
      <w:r w:rsidR="00B81B10" w:rsidRPr="00CF6C50">
        <w:rPr>
          <w:sz w:val="24"/>
          <w:shd w:val="clear" w:color="auto" w:fill="FF99FF"/>
        </w:rPr>
        <w:t>Promotion and Tenure</w:t>
      </w:r>
      <w:r w:rsidRPr="006B18E4">
        <w:rPr>
          <w:sz w:val="24"/>
        </w:rPr>
        <w:t xml:space="preserve"> format approved by the Provost;</w:t>
      </w:r>
    </w:p>
    <w:p w14:paraId="43C76080" w14:textId="77777777" w:rsidR="000A484E" w:rsidRPr="006B18E4" w:rsidRDefault="00002B34" w:rsidP="001E4DC1">
      <w:pPr>
        <w:pStyle w:val="ListParagraph"/>
        <w:numPr>
          <w:ilvl w:val="0"/>
          <w:numId w:val="6"/>
        </w:numPr>
        <w:shd w:val="clear" w:color="auto" w:fill="FF99FF"/>
        <w:tabs>
          <w:tab w:val="left" w:pos="1260"/>
        </w:tabs>
        <w:ind w:left="1260" w:hanging="180"/>
        <w:rPr>
          <w:sz w:val="24"/>
        </w:rPr>
      </w:pPr>
      <w:r>
        <w:rPr>
          <w:sz w:val="24"/>
        </w:rPr>
        <w:t>Appropriate and r</w:t>
      </w:r>
      <w:r w:rsidRPr="006B18E4">
        <w:rPr>
          <w:sz w:val="24"/>
        </w:rPr>
        <w:t xml:space="preserve">elevant </w:t>
      </w:r>
      <w:r w:rsidR="000A484E" w:rsidRPr="006B18E4">
        <w:rPr>
          <w:sz w:val="24"/>
        </w:rPr>
        <w:t xml:space="preserve">quantitative and/or qualitative summaries of student evaluations </w:t>
      </w:r>
      <w:r>
        <w:rPr>
          <w:sz w:val="24"/>
        </w:rPr>
        <w:t>as defined for this purpose by the department (i.e., mean and standard deviation</w:t>
      </w:r>
      <w:r w:rsidR="00C216D2">
        <w:rPr>
          <w:sz w:val="24"/>
        </w:rPr>
        <w:t xml:space="preserve"> or median and interquartile range</w:t>
      </w:r>
      <w:r>
        <w:rPr>
          <w:sz w:val="24"/>
        </w:rPr>
        <w:t xml:space="preserve">), </w:t>
      </w:r>
      <w:r w:rsidR="000A484E" w:rsidRPr="006B18E4">
        <w:rPr>
          <w:sz w:val="24"/>
        </w:rPr>
        <w:t>or appropriate assessments of teaching since the last review; and</w:t>
      </w:r>
    </w:p>
    <w:p w14:paraId="52CDE005" w14:textId="77777777" w:rsidR="000A484E" w:rsidRPr="006B18E4" w:rsidRDefault="000A484E" w:rsidP="001E4DC1">
      <w:pPr>
        <w:pStyle w:val="ListParagraph"/>
        <w:numPr>
          <w:ilvl w:val="0"/>
          <w:numId w:val="6"/>
        </w:numPr>
        <w:shd w:val="clear" w:color="auto" w:fill="FF99FF"/>
        <w:tabs>
          <w:tab w:val="left" w:pos="1260"/>
        </w:tabs>
        <w:ind w:left="1260" w:hanging="180"/>
        <w:rPr>
          <w:sz w:val="24"/>
        </w:rPr>
      </w:pPr>
      <w:r w:rsidRPr="006B18E4">
        <w:rPr>
          <w:sz w:val="24"/>
        </w:rPr>
        <w:t>Representative syllabi and/or other pedagogical materials from the six-year review period.</w:t>
      </w:r>
    </w:p>
    <w:p w14:paraId="3F1811A2" w14:textId="77777777" w:rsidR="00397B93" w:rsidRPr="00397B93" w:rsidRDefault="00397B93" w:rsidP="009E7330">
      <w:pPr>
        <w:shd w:val="clear" w:color="auto" w:fill="FFFFFF" w:themeFill="background1"/>
        <w:tabs>
          <w:tab w:val="left" w:pos="1260"/>
        </w:tabs>
        <w:outlineLvl w:val="0"/>
        <w:rPr>
          <w:b/>
          <w:sz w:val="24"/>
        </w:rPr>
      </w:pPr>
      <w:r w:rsidRPr="00397B93">
        <w:rPr>
          <w:b/>
          <w:sz w:val="24"/>
        </w:rPr>
        <w:tab/>
      </w:r>
      <w:r w:rsidRPr="00397B93">
        <w:rPr>
          <w:b/>
          <w:sz w:val="24"/>
          <w:highlight w:val="yellow"/>
        </w:rPr>
        <w:t>Department may add other requirements as appropriate</w:t>
      </w:r>
      <w:r w:rsidRPr="00397B93">
        <w:rPr>
          <w:b/>
          <w:sz w:val="24"/>
        </w:rPr>
        <w:t>.</w:t>
      </w:r>
    </w:p>
    <w:p w14:paraId="19694A52" w14:textId="77777777" w:rsidR="000A484E" w:rsidRPr="006B18E4" w:rsidRDefault="00B84E58" w:rsidP="00B84E58">
      <w:pPr>
        <w:shd w:val="clear" w:color="auto" w:fill="FFFFFF" w:themeFill="background1"/>
        <w:tabs>
          <w:tab w:val="left" w:pos="1260"/>
          <w:tab w:val="left" w:pos="6960"/>
        </w:tabs>
        <w:ind w:left="720"/>
        <w:rPr>
          <w:b/>
          <w:sz w:val="24"/>
        </w:rPr>
      </w:pPr>
      <w:r>
        <w:rPr>
          <w:b/>
          <w:sz w:val="24"/>
          <w:shd w:val="clear" w:color="auto" w:fill="FF99FF"/>
        </w:rPr>
        <w:t>The</w:t>
      </w:r>
      <w:r w:rsidR="006B462B" w:rsidRPr="00397B93">
        <w:rPr>
          <w:b/>
          <w:sz w:val="24"/>
          <w:shd w:val="clear" w:color="auto" w:fill="FF99FF"/>
        </w:rPr>
        <w:t xml:space="preserve"> </w:t>
      </w:r>
      <w:r w:rsidR="003B6974" w:rsidRPr="00397B93">
        <w:rPr>
          <w:b/>
          <w:sz w:val="24"/>
          <w:shd w:val="clear" w:color="auto" w:fill="FF99FF"/>
        </w:rPr>
        <w:t>Milestone</w:t>
      </w:r>
      <w:r w:rsidR="006B462B" w:rsidRPr="00397B93">
        <w:rPr>
          <w:b/>
          <w:sz w:val="24"/>
          <w:shd w:val="clear" w:color="auto" w:fill="FF99FF"/>
        </w:rPr>
        <w:t xml:space="preserve"> Review Materials submitted by the faculty member may include, but are not limited to</w:t>
      </w:r>
      <w:r w:rsidR="006B462B" w:rsidRPr="006B18E4">
        <w:rPr>
          <w:b/>
          <w:sz w:val="24"/>
        </w:rPr>
        <w:t>:</w:t>
      </w:r>
    </w:p>
    <w:p w14:paraId="7754F6CA" w14:textId="77777777" w:rsidR="003B6974" w:rsidRPr="006B18E4" w:rsidRDefault="003B6974" w:rsidP="00B84E58">
      <w:pPr>
        <w:pStyle w:val="ListParagraph"/>
        <w:numPr>
          <w:ilvl w:val="0"/>
          <w:numId w:val="8"/>
        </w:numPr>
        <w:shd w:val="clear" w:color="auto" w:fill="FF99FF"/>
        <w:tabs>
          <w:tab w:val="left" w:pos="1260"/>
          <w:tab w:val="left" w:pos="6960"/>
        </w:tabs>
        <w:rPr>
          <w:sz w:val="24"/>
        </w:rPr>
      </w:pPr>
      <w:r w:rsidRPr="006B18E4">
        <w:rPr>
          <w:sz w:val="24"/>
        </w:rPr>
        <w:t>Peer evaluation of teaching and curricular innovation;</w:t>
      </w:r>
    </w:p>
    <w:p w14:paraId="118C9CC5" w14:textId="77777777" w:rsidR="003B6974" w:rsidRPr="006B18E4" w:rsidRDefault="003B6974" w:rsidP="00A7733D">
      <w:pPr>
        <w:pStyle w:val="ListParagraph"/>
        <w:numPr>
          <w:ilvl w:val="0"/>
          <w:numId w:val="8"/>
        </w:numPr>
        <w:shd w:val="clear" w:color="auto" w:fill="FF99FF"/>
        <w:tabs>
          <w:tab w:val="left" w:pos="1260"/>
          <w:tab w:val="left" w:pos="6960"/>
        </w:tabs>
        <w:ind w:left="1260" w:hanging="180"/>
        <w:rPr>
          <w:sz w:val="24"/>
        </w:rPr>
      </w:pPr>
      <w:r w:rsidRPr="006B18E4">
        <w:rPr>
          <w:sz w:val="24"/>
        </w:rPr>
        <w:t>Description of professional development activities intended to advance job performance;</w:t>
      </w:r>
    </w:p>
    <w:p w14:paraId="5A66EEEE" w14:textId="77777777" w:rsidR="003B6974" w:rsidRPr="006B18E4" w:rsidRDefault="003B6974" w:rsidP="00B84E58">
      <w:pPr>
        <w:pStyle w:val="ListParagraph"/>
        <w:numPr>
          <w:ilvl w:val="0"/>
          <w:numId w:val="8"/>
        </w:numPr>
        <w:shd w:val="clear" w:color="auto" w:fill="FF99FF"/>
        <w:tabs>
          <w:tab w:val="left" w:pos="1260"/>
          <w:tab w:val="left" w:pos="6960"/>
        </w:tabs>
        <w:rPr>
          <w:sz w:val="24"/>
        </w:rPr>
      </w:pPr>
      <w:r w:rsidRPr="006B18E4">
        <w:rPr>
          <w:sz w:val="24"/>
        </w:rPr>
        <w:t>A reflective analysis of student and/or peer evaluations of teaching;</w:t>
      </w:r>
    </w:p>
    <w:p w14:paraId="39E91799" w14:textId="77777777" w:rsidR="003B6974" w:rsidRPr="006B18E4" w:rsidRDefault="003B6974" w:rsidP="00A7733D">
      <w:pPr>
        <w:pStyle w:val="ListParagraph"/>
        <w:numPr>
          <w:ilvl w:val="0"/>
          <w:numId w:val="8"/>
        </w:numPr>
        <w:shd w:val="clear" w:color="auto" w:fill="FF99FF"/>
        <w:tabs>
          <w:tab w:val="left" w:pos="1260"/>
          <w:tab w:val="left" w:pos="6960"/>
        </w:tabs>
        <w:ind w:left="1260" w:hanging="180"/>
        <w:rPr>
          <w:sz w:val="24"/>
        </w:rPr>
      </w:pPr>
      <w:r w:rsidRPr="006B18E4">
        <w:rPr>
          <w:sz w:val="24"/>
        </w:rPr>
        <w:t>Evidence of ability to work effectively with individuals from and topics related to diverse populations;</w:t>
      </w:r>
    </w:p>
    <w:p w14:paraId="3E3B1B14" w14:textId="77777777" w:rsidR="003B6974" w:rsidRPr="006B18E4" w:rsidRDefault="003B6974" w:rsidP="00B84E58">
      <w:pPr>
        <w:pStyle w:val="ListParagraph"/>
        <w:numPr>
          <w:ilvl w:val="0"/>
          <w:numId w:val="8"/>
        </w:numPr>
        <w:shd w:val="clear" w:color="auto" w:fill="FF99FF"/>
        <w:tabs>
          <w:tab w:val="left" w:pos="1260"/>
          <w:tab w:val="left" w:pos="6960"/>
        </w:tabs>
        <w:rPr>
          <w:sz w:val="24"/>
        </w:rPr>
      </w:pPr>
      <w:r w:rsidRPr="006B18E4">
        <w:rPr>
          <w:sz w:val="24"/>
        </w:rPr>
        <w:t>Evidence of service activities related to unit mission; and</w:t>
      </w:r>
    </w:p>
    <w:p w14:paraId="7C8AA794" w14:textId="77777777" w:rsidR="003B6974" w:rsidRDefault="003B6974" w:rsidP="00B84E58">
      <w:pPr>
        <w:pStyle w:val="ListParagraph"/>
        <w:numPr>
          <w:ilvl w:val="0"/>
          <w:numId w:val="8"/>
        </w:numPr>
        <w:shd w:val="clear" w:color="auto" w:fill="FF99FF"/>
        <w:tabs>
          <w:tab w:val="left" w:pos="1260"/>
          <w:tab w:val="left" w:pos="6960"/>
        </w:tabs>
        <w:rPr>
          <w:sz w:val="24"/>
        </w:rPr>
      </w:pPr>
      <w:r w:rsidRPr="006B18E4">
        <w:rPr>
          <w:sz w:val="24"/>
        </w:rPr>
        <w:t>The annual self-appraisals prepared by the faculty member.</w:t>
      </w:r>
    </w:p>
    <w:p w14:paraId="6E4BC662" w14:textId="77777777" w:rsidR="00397B93" w:rsidRPr="00AE13D1" w:rsidRDefault="00397B93" w:rsidP="009E7330">
      <w:pPr>
        <w:shd w:val="clear" w:color="auto" w:fill="FFFFFF" w:themeFill="background1"/>
        <w:tabs>
          <w:tab w:val="left" w:pos="1260"/>
        </w:tabs>
        <w:outlineLvl w:val="0"/>
        <w:rPr>
          <w:b/>
          <w:sz w:val="24"/>
        </w:rPr>
      </w:pPr>
      <w:r>
        <w:rPr>
          <w:b/>
          <w:sz w:val="24"/>
        </w:rPr>
        <w:tab/>
      </w:r>
      <w:r w:rsidRPr="00AE13D1">
        <w:rPr>
          <w:b/>
          <w:sz w:val="24"/>
          <w:highlight w:val="yellow"/>
        </w:rPr>
        <w:t>Department may add other requirements as appropriate</w:t>
      </w:r>
      <w:r w:rsidRPr="00AE13D1">
        <w:rPr>
          <w:b/>
          <w:sz w:val="24"/>
        </w:rPr>
        <w:t>.</w:t>
      </w:r>
    </w:p>
    <w:p w14:paraId="6C0693E9" w14:textId="4C4A1995" w:rsidR="006F7CC1" w:rsidRPr="006B18E4" w:rsidRDefault="00397B93" w:rsidP="00B84E58">
      <w:pPr>
        <w:shd w:val="clear" w:color="auto" w:fill="FFFFFF" w:themeFill="background1"/>
        <w:tabs>
          <w:tab w:val="left" w:pos="1260"/>
          <w:tab w:val="left" w:pos="6960"/>
        </w:tabs>
        <w:ind w:left="720"/>
        <w:rPr>
          <w:b/>
          <w:sz w:val="24"/>
        </w:rPr>
      </w:pPr>
      <w:r w:rsidRPr="00397B93">
        <w:rPr>
          <w:b/>
          <w:sz w:val="24"/>
          <w:shd w:val="clear" w:color="auto" w:fill="FF99FF"/>
        </w:rPr>
        <w:t>The</w:t>
      </w:r>
      <w:r w:rsidR="003B6974" w:rsidRPr="00397B93">
        <w:rPr>
          <w:b/>
          <w:sz w:val="24"/>
          <w:shd w:val="clear" w:color="auto" w:fill="FF99FF"/>
        </w:rPr>
        <w:t xml:space="preserve"> following </w:t>
      </w:r>
      <w:r w:rsidR="00A7733D" w:rsidRPr="00CF6C50">
        <w:rPr>
          <w:b/>
          <w:sz w:val="24"/>
          <w:shd w:val="clear" w:color="auto" w:fill="FF99FF"/>
        </w:rPr>
        <w:t>additional items may be included in the evaluation of teaching and curricular accomplishments, to the extent consistent with a faculty member’s letter of appointment:</w:t>
      </w:r>
    </w:p>
    <w:p w14:paraId="53654AA7" w14:textId="77777777" w:rsidR="006F7CC1" w:rsidRPr="006B18E4" w:rsidRDefault="006F7CC1" w:rsidP="00B84E58">
      <w:pPr>
        <w:pStyle w:val="ListParagraph"/>
        <w:numPr>
          <w:ilvl w:val="0"/>
          <w:numId w:val="11"/>
        </w:numPr>
        <w:shd w:val="clear" w:color="auto" w:fill="FF99FF"/>
        <w:tabs>
          <w:tab w:val="left" w:pos="1260"/>
          <w:tab w:val="left" w:pos="6960"/>
        </w:tabs>
        <w:rPr>
          <w:sz w:val="24"/>
        </w:rPr>
      </w:pPr>
      <w:r w:rsidRPr="006B18E4">
        <w:rPr>
          <w:sz w:val="24"/>
        </w:rPr>
        <w:t>Contributions to courses or curriculum development;</w:t>
      </w:r>
    </w:p>
    <w:p w14:paraId="6FEDCFFE" w14:textId="77777777" w:rsidR="006F7CC1" w:rsidRPr="006B18E4" w:rsidRDefault="006F7CC1" w:rsidP="00B84E58">
      <w:pPr>
        <w:pStyle w:val="ListParagraph"/>
        <w:numPr>
          <w:ilvl w:val="0"/>
          <w:numId w:val="11"/>
        </w:numPr>
        <w:shd w:val="clear" w:color="auto" w:fill="FF99FF"/>
        <w:tabs>
          <w:tab w:val="left" w:pos="1260"/>
          <w:tab w:val="left" w:pos="6960"/>
        </w:tabs>
        <w:rPr>
          <w:sz w:val="24"/>
        </w:rPr>
      </w:pPr>
      <w:r w:rsidRPr="006B18E4">
        <w:rPr>
          <w:sz w:val="24"/>
        </w:rPr>
        <w:lastRenderedPageBreak/>
        <w:t>Materials developed for use in courses;</w:t>
      </w:r>
    </w:p>
    <w:p w14:paraId="11512F9F" w14:textId="77777777" w:rsidR="006F7CC1" w:rsidRPr="006B18E4" w:rsidRDefault="006F7CC1" w:rsidP="009D5629">
      <w:pPr>
        <w:pStyle w:val="ListParagraph"/>
        <w:numPr>
          <w:ilvl w:val="0"/>
          <w:numId w:val="11"/>
        </w:numPr>
        <w:shd w:val="clear" w:color="auto" w:fill="FF99FF"/>
        <w:tabs>
          <w:tab w:val="left" w:pos="1260"/>
          <w:tab w:val="left" w:pos="6960"/>
        </w:tabs>
        <w:ind w:left="1260" w:hanging="180"/>
        <w:rPr>
          <w:sz w:val="24"/>
        </w:rPr>
      </w:pPr>
      <w:r w:rsidRPr="006B18E4">
        <w:rPr>
          <w:sz w:val="24"/>
        </w:rPr>
        <w:t xml:space="preserve">Results of creative approaches to teaching methods and techniques, including the development of software and other technologies that advance student learning; </w:t>
      </w:r>
    </w:p>
    <w:p w14:paraId="729CB369" w14:textId="77777777" w:rsidR="006F7CC1" w:rsidRPr="006B18E4" w:rsidRDefault="006F7CC1" w:rsidP="00B84E58">
      <w:pPr>
        <w:pStyle w:val="ListParagraph"/>
        <w:numPr>
          <w:ilvl w:val="0"/>
          <w:numId w:val="11"/>
        </w:numPr>
        <w:shd w:val="clear" w:color="auto" w:fill="FF99FF"/>
        <w:tabs>
          <w:tab w:val="left" w:pos="1260"/>
          <w:tab w:val="left" w:pos="6960"/>
        </w:tabs>
        <w:rPr>
          <w:sz w:val="24"/>
        </w:rPr>
      </w:pPr>
      <w:r w:rsidRPr="006B18E4">
        <w:rPr>
          <w:sz w:val="24"/>
        </w:rPr>
        <w:t>Results of assessments of student learning</w:t>
      </w:r>
    </w:p>
    <w:p w14:paraId="009BBC62" w14:textId="77777777" w:rsidR="006F7CC1" w:rsidRPr="006B18E4" w:rsidRDefault="006F7CC1" w:rsidP="00B84E58">
      <w:pPr>
        <w:pStyle w:val="ListParagraph"/>
        <w:numPr>
          <w:ilvl w:val="0"/>
          <w:numId w:val="11"/>
        </w:numPr>
        <w:shd w:val="clear" w:color="auto" w:fill="FF99FF"/>
        <w:tabs>
          <w:tab w:val="left" w:pos="1260"/>
          <w:tab w:val="left" w:pos="6960"/>
        </w:tabs>
        <w:rPr>
          <w:sz w:val="24"/>
        </w:rPr>
      </w:pPr>
      <w:r w:rsidRPr="006B18E4">
        <w:rPr>
          <w:sz w:val="24"/>
        </w:rPr>
        <w:t>Accessibility to students;</w:t>
      </w:r>
    </w:p>
    <w:p w14:paraId="7196AB2E" w14:textId="77777777" w:rsidR="006F7CC1" w:rsidRPr="006B18E4" w:rsidRDefault="006F7CC1" w:rsidP="00B84E58">
      <w:pPr>
        <w:pStyle w:val="ListParagraph"/>
        <w:numPr>
          <w:ilvl w:val="0"/>
          <w:numId w:val="11"/>
        </w:numPr>
        <w:shd w:val="clear" w:color="auto" w:fill="FF99FF"/>
        <w:tabs>
          <w:tab w:val="left" w:pos="1260"/>
          <w:tab w:val="left" w:pos="6960"/>
        </w:tabs>
        <w:rPr>
          <w:sz w:val="24"/>
        </w:rPr>
      </w:pPr>
      <w:r w:rsidRPr="006B18E4">
        <w:rPr>
          <w:sz w:val="24"/>
        </w:rPr>
        <w:t>Ability to relate to a wide variety of students for purposes of advising;</w:t>
      </w:r>
    </w:p>
    <w:p w14:paraId="3C31EAAA" w14:textId="77777777" w:rsidR="006F7CC1" w:rsidRPr="006B18E4" w:rsidRDefault="006F7CC1" w:rsidP="00B84E58">
      <w:pPr>
        <w:pStyle w:val="ListParagraph"/>
        <w:numPr>
          <w:ilvl w:val="0"/>
          <w:numId w:val="11"/>
        </w:numPr>
        <w:shd w:val="clear" w:color="auto" w:fill="FF99FF"/>
        <w:tabs>
          <w:tab w:val="left" w:pos="1260"/>
          <w:tab w:val="left" w:pos="6960"/>
        </w:tabs>
        <w:rPr>
          <w:sz w:val="24"/>
        </w:rPr>
      </w:pPr>
      <w:r w:rsidRPr="006B18E4">
        <w:rPr>
          <w:sz w:val="24"/>
        </w:rPr>
        <w:t>Mentoring and guiding students toward the achievement of curricular goals;</w:t>
      </w:r>
    </w:p>
    <w:p w14:paraId="620450CD" w14:textId="77777777" w:rsidR="006F7CC1" w:rsidRPr="006B18E4" w:rsidRDefault="006F7CC1" w:rsidP="009D5629">
      <w:pPr>
        <w:pStyle w:val="ListParagraph"/>
        <w:numPr>
          <w:ilvl w:val="0"/>
          <w:numId w:val="11"/>
        </w:numPr>
        <w:shd w:val="clear" w:color="auto" w:fill="FF99FF"/>
        <w:tabs>
          <w:tab w:val="left" w:pos="1260"/>
          <w:tab w:val="left" w:pos="6960"/>
        </w:tabs>
        <w:ind w:left="1260" w:hanging="180"/>
        <w:rPr>
          <w:sz w:val="24"/>
        </w:rPr>
      </w:pPr>
      <w:r w:rsidRPr="006B18E4">
        <w:rPr>
          <w:sz w:val="24"/>
        </w:rPr>
        <w:t>Results of supervision of student research or other creative activities including theses and field advising</w:t>
      </w:r>
    </w:p>
    <w:p w14:paraId="5A9CA888" w14:textId="77777777" w:rsidR="006F7CC1" w:rsidRPr="006B18E4" w:rsidRDefault="006F7CC1" w:rsidP="00B84E58">
      <w:pPr>
        <w:pStyle w:val="ListParagraph"/>
        <w:numPr>
          <w:ilvl w:val="0"/>
          <w:numId w:val="11"/>
        </w:numPr>
        <w:shd w:val="clear" w:color="auto" w:fill="FF99FF"/>
        <w:tabs>
          <w:tab w:val="left" w:pos="1260"/>
          <w:tab w:val="left" w:pos="6960"/>
        </w:tabs>
        <w:rPr>
          <w:sz w:val="24"/>
        </w:rPr>
      </w:pPr>
      <w:r w:rsidRPr="006B18E4">
        <w:rPr>
          <w:sz w:val="24"/>
        </w:rPr>
        <w:t>Results of supervision of service learning experiences in the community;</w:t>
      </w:r>
    </w:p>
    <w:p w14:paraId="46FA3E00" w14:textId="77777777" w:rsidR="006F7CC1" w:rsidRPr="006B18E4" w:rsidRDefault="006F7CC1" w:rsidP="009D5629">
      <w:pPr>
        <w:pStyle w:val="ListParagraph"/>
        <w:numPr>
          <w:ilvl w:val="0"/>
          <w:numId w:val="11"/>
        </w:numPr>
        <w:shd w:val="clear" w:color="auto" w:fill="FF99FF"/>
        <w:tabs>
          <w:tab w:val="left" w:pos="1260"/>
          <w:tab w:val="left" w:pos="6960"/>
        </w:tabs>
        <w:ind w:left="1260" w:hanging="180"/>
        <w:rPr>
          <w:sz w:val="24"/>
        </w:rPr>
      </w:pPr>
      <w:r w:rsidRPr="006B18E4">
        <w:rPr>
          <w:sz w:val="24"/>
        </w:rPr>
        <w:t>Contributions to, and participation in, the achievement of departmental goals, such as achieving reasonable retention of students;</w:t>
      </w:r>
    </w:p>
    <w:p w14:paraId="0929629D" w14:textId="77777777" w:rsidR="006F7CC1" w:rsidRPr="006B18E4" w:rsidRDefault="006F7CC1" w:rsidP="009D5629">
      <w:pPr>
        <w:pStyle w:val="ListParagraph"/>
        <w:numPr>
          <w:ilvl w:val="0"/>
          <w:numId w:val="11"/>
        </w:numPr>
        <w:shd w:val="clear" w:color="auto" w:fill="FF99FF"/>
        <w:tabs>
          <w:tab w:val="left" w:pos="1260"/>
          <w:tab w:val="left" w:pos="6960"/>
        </w:tabs>
        <w:ind w:left="1260" w:hanging="180"/>
        <w:rPr>
          <w:sz w:val="24"/>
        </w:rPr>
      </w:pPr>
      <w:r w:rsidRPr="006B18E4">
        <w:rPr>
          <w:sz w:val="24"/>
        </w:rPr>
        <w:t>Contributions to the development and delivery of collaborative, interdisciplinary University Studies, and inter-institutional educational programs;</w:t>
      </w:r>
    </w:p>
    <w:p w14:paraId="13B8E7FF" w14:textId="77777777" w:rsidR="006F7CC1" w:rsidRPr="006B18E4" w:rsidRDefault="006F7CC1" w:rsidP="009D5629">
      <w:pPr>
        <w:pStyle w:val="ListParagraph"/>
        <w:numPr>
          <w:ilvl w:val="0"/>
          <w:numId w:val="11"/>
        </w:numPr>
        <w:shd w:val="clear" w:color="auto" w:fill="FF99FF"/>
        <w:tabs>
          <w:tab w:val="left" w:pos="1260"/>
          <w:tab w:val="left" w:pos="6960"/>
        </w:tabs>
        <w:ind w:left="1260" w:hanging="180"/>
        <w:rPr>
          <w:sz w:val="24"/>
        </w:rPr>
      </w:pPr>
      <w:r w:rsidRPr="006B18E4">
        <w:rPr>
          <w:sz w:val="24"/>
        </w:rPr>
        <w:t>Teaching and mentoring students and others in how to obtain access to information resources so as to further student, faculty, and community research and learning;</w:t>
      </w:r>
    </w:p>
    <w:p w14:paraId="37A8D5A3" w14:textId="77777777" w:rsidR="006F7CC1" w:rsidRPr="006B18E4" w:rsidRDefault="006F7CC1" w:rsidP="009D5629">
      <w:pPr>
        <w:pStyle w:val="ListParagraph"/>
        <w:numPr>
          <w:ilvl w:val="0"/>
          <w:numId w:val="11"/>
        </w:numPr>
        <w:shd w:val="clear" w:color="auto" w:fill="FF99FF"/>
        <w:tabs>
          <w:tab w:val="left" w:pos="1260"/>
          <w:tab w:val="left" w:pos="6960"/>
        </w:tabs>
        <w:ind w:left="1260" w:hanging="180"/>
        <w:rPr>
          <w:sz w:val="24"/>
        </w:rPr>
      </w:pPr>
      <w:r w:rsidRPr="006B18E4">
        <w:rPr>
          <w:sz w:val="24"/>
        </w:rPr>
        <w:t>Grant proposals and grants for the development of curriculum or teaching methods and techniques;</w:t>
      </w:r>
    </w:p>
    <w:p w14:paraId="6318AA4D" w14:textId="77777777" w:rsidR="006F7CC1" w:rsidRPr="006B18E4" w:rsidRDefault="006F7CC1" w:rsidP="009D5629">
      <w:pPr>
        <w:pStyle w:val="ListParagraph"/>
        <w:numPr>
          <w:ilvl w:val="0"/>
          <w:numId w:val="11"/>
        </w:numPr>
        <w:shd w:val="clear" w:color="auto" w:fill="FF99FF"/>
        <w:tabs>
          <w:tab w:val="left" w:pos="1260"/>
          <w:tab w:val="left" w:pos="6960"/>
        </w:tabs>
        <w:ind w:left="1260" w:hanging="180"/>
        <w:rPr>
          <w:sz w:val="24"/>
        </w:rPr>
      </w:pPr>
      <w:r w:rsidRPr="006B18E4">
        <w:rPr>
          <w:sz w:val="24"/>
        </w:rPr>
        <w:t xml:space="preserve">Professional development as related to instruction, e.g., attendance at professional meetings related to a faculty member’s areas of instructional expertise; and </w:t>
      </w:r>
    </w:p>
    <w:p w14:paraId="444A2EE1" w14:textId="77777777" w:rsidR="006F7CC1" w:rsidRDefault="006F7CC1" w:rsidP="00B84E58">
      <w:pPr>
        <w:pStyle w:val="ListParagraph"/>
        <w:numPr>
          <w:ilvl w:val="0"/>
          <w:numId w:val="11"/>
        </w:numPr>
        <w:shd w:val="clear" w:color="auto" w:fill="FF99FF"/>
        <w:tabs>
          <w:tab w:val="left" w:pos="1260"/>
          <w:tab w:val="left" w:pos="6960"/>
        </w:tabs>
        <w:rPr>
          <w:sz w:val="24"/>
        </w:rPr>
      </w:pPr>
      <w:r w:rsidRPr="006B18E4">
        <w:rPr>
          <w:sz w:val="24"/>
        </w:rPr>
        <w:t>Honors and awards for teaching.</w:t>
      </w:r>
    </w:p>
    <w:p w14:paraId="6CF53E95" w14:textId="77777777" w:rsidR="00397B93" w:rsidRPr="00AE13D1" w:rsidRDefault="00397B93" w:rsidP="009E7330">
      <w:pPr>
        <w:shd w:val="clear" w:color="auto" w:fill="FFFFFF" w:themeFill="background1"/>
        <w:tabs>
          <w:tab w:val="left" w:pos="1260"/>
        </w:tabs>
        <w:outlineLvl w:val="0"/>
        <w:rPr>
          <w:b/>
          <w:sz w:val="24"/>
        </w:rPr>
      </w:pPr>
      <w:r>
        <w:rPr>
          <w:b/>
          <w:sz w:val="24"/>
        </w:rPr>
        <w:tab/>
      </w:r>
      <w:r w:rsidRPr="00AE13D1">
        <w:rPr>
          <w:b/>
          <w:sz w:val="24"/>
          <w:highlight w:val="yellow"/>
        </w:rPr>
        <w:t>Department may add other requirements as appropriate</w:t>
      </w:r>
      <w:r w:rsidRPr="00AE13D1">
        <w:rPr>
          <w:b/>
          <w:sz w:val="24"/>
        </w:rPr>
        <w:t>.</w:t>
      </w:r>
    </w:p>
    <w:p w14:paraId="176ED9F6" w14:textId="462A7934" w:rsidR="006F7CC1" w:rsidRDefault="009D5629" w:rsidP="00CF6C50">
      <w:pPr>
        <w:outlineLvl w:val="0"/>
        <w:rPr>
          <w:b/>
          <w:sz w:val="24"/>
        </w:rPr>
      </w:pPr>
      <w:r>
        <w:rPr>
          <w:b/>
          <w:sz w:val="24"/>
        </w:rPr>
        <w:tab/>
      </w:r>
      <w:r w:rsidR="006F7CC1" w:rsidRPr="00754E11">
        <w:rPr>
          <w:b/>
          <w:sz w:val="24"/>
        </w:rPr>
        <w:t>H.</w:t>
      </w:r>
      <w:r>
        <w:rPr>
          <w:b/>
          <w:sz w:val="24"/>
        </w:rPr>
        <w:t xml:space="preserve"> Procedures for Milestone Review</w:t>
      </w:r>
    </w:p>
    <w:p w14:paraId="12AC615A" w14:textId="0ED0F3E8" w:rsidR="009D5629" w:rsidRPr="006B18E4" w:rsidRDefault="009D5629" w:rsidP="009D5629">
      <w:pPr>
        <w:shd w:val="clear" w:color="auto" w:fill="FFFFFF" w:themeFill="background1"/>
        <w:tabs>
          <w:tab w:val="left" w:pos="720"/>
          <w:tab w:val="left" w:pos="810"/>
          <w:tab w:val="left" w:pos="1260"/>
          <w:tab w:val="left" w:pos="3030"/>
        </w:tabs>
        <w:ind w:left="720"/>
        <w:rPr>
          <w:sz w:val="24"/>
        </w:rPr>
      </w:pPr>
      <w:r w:rsidRPr="00CF6C50">
        <w:rPr>
          <w:sz w:val="24"/>
        </w:rPr>
        <w:t>Refer to University</w:t>
      </w:r>
      <w:r w:rsidRPr="008D0D12">
        <w:rPr>
          <w:sz w:val="24"/>
        </w:rPr>
        <w:t xml:space="preserve"> </w:t>
      </w:r>
      <w:r w:rsidR="00F60D29">
        <w:rPr>
          <w:sz w:val="24"/>
        </w:rPr>
        <w:t xml:space="preserve">P&amp;T Guidelines, Non-Tenure Track Instructional Positions- Continuous Appointment </w:t>
      </w:r>
      <w:bookmarkStart w:id="0" w:name="_GoBack"/>
      <w:bookmarkEnd w:id="0"/>
      <w:r w:rsidR="00F60D29">
        <w:rPr>
          <w:sz w:val="24"/>
        </w:rPr>
        <w:t xml:space="preserve">Related Evaluations, Section </w:t>
      </w:r>
      <w:r w:rsidR="00CF6C50">
        <w:rPr>
          <w:sz w:val="24"/>
        </w:rPr>
        <w:t>H</w:t>
      </w:r>
      <w:r w:rsidRPr="006B18E4">
        <w:rPr>
          <w:sz w:val="24"/>
        </w:rPr>
        <w:t>.</w:t>
      </w:r>
    </w:p>
    <w:p w14:paraId="7A1F68E6" w14:textId="77777777" w:rsidR="009D5629" w:rsidRPr="00754E11" w:rsidRDefault="009D5629" w:rsidP="00CF6C50">
      <w:pPr>
        <w:shd w:val="clear" w:color="auto" w:fill="FFFFFF" w:themeFill="background1"/>
        <w:outlineLvl w:val="0"/>
        <w:rPr>
          <w:b/>
          <w:sz w:val="24"/>
        </w:rPr>
      </w:pPr>
      <w:r>
        <w:rPr>
          <w:b/>
          <w:sz w:val="24"/>
        </w:rPr>
        <w:tab/>
        <w:t>I</w:t>
      </w:r>
      <w:r w:rsidRPr="004A2401">
        <w:rPr>
          <w:b/>
          <w:sz w:val="24"/>
        </w:rPr>
        <w:t>.</w:t>
      </w:r>
      <w:r>
        <w:rPr>
          <w:b/>
          <w:sz w:val="24"/>
        </w:rPr>
        <w:t xml:space="preserve"> Evaluation Following Continuous Appointment</w:t>
      </w:r>
    </w:p>
    <w:p w14:paraId="22082A08" w14:textId="77777777" w:rsidR="006F7CC1" w:rsidRPr="006B18E4" w:rsidRDefault="006F7CC1" w:rsidP="00B84E58">
      <w:pPr>
        <w:shd w:val="clear" w:color="auto" w:fill="FFFFFF" w:themeFill="background1"/>
        <w:tabs>
          <w:tab w:val="left" w:pos="1260"/>
          <w:tab w:val="left" w:pos="6960"/>
        </w:tabs>
        <w:ind w:left="720"/>
        <w:rPr>
          <w:sz w:val="24"/>
        </w:rPr>
      </w:pPr>
      <w:r w:rsidRPr="00397B93">
        <w:rPr>
          <w:sz w:val="24"/>
          <w:shd w:val="clear" w:color="auto" w:fill="FF99FF"/>
        </w:rPr>
        <w:t>Non-tenure track instructional faculty on a continuous appointment are to be evaluated after three y</w:t>
      </w:r>
      <w:r w:rsidR="00BE72E5" w:rsidRPr="00397B93">
        <w:rPr>
          <w:sz w:val="24"/>
          <w:shd w:val="clear" w:color="auto" w:fill="FF99FF"/>
        </w:rPr>
        <w:t>e</w:t>
      </w:r>
      <w:r w:rsidRPr="00397B93">
        <w:rPr>
          <w:sz w:val="24"/>
          <w:shd w:val="clear" w:color="auto" w:fill="FF99FF"/>
        </w:rPr>
        <w:t>ars of continuous appointment and then after every three years following the last evaluation or promotion</w:t>
      </w:r>
      <w:r w:rsidRPr="006B18E4">
        <w:rPr>
          <w:sz w:val="24"/>
        </w:rPr>
        <w:t>.</w:t>
      </w:r>
    </w:p>
    <w:p w14:paraId="2E412CBB" w14:textId="77777777" w:rsidR="006F7CC1" w:rsidRPr="006B18E4" w:rsidRDefault="00397B93" w:rsidP="00B84E58">
      <w:pPr>
        <w:shd w:val="clear" w:color="auto" w:fill="FFFFFF" w:themeFill="background1"/>
        <w:tabs>
          <w:tab w:val="left" w:pos="1260"/>
          <w:tab w:val="left" w:pos="6960"/>
        </w:tabs>
        <w:ind w:left="720"/>
        <w:rPr>
          <w:b/>
          <w:sz w:val="24"/>
        </w:rPr>
      </w:pPr>
      <w:r w:rsidRPr="00397B93">
        <w:rPr>
          <w:b/>
          <w:sz w:val="24"/>
          <w:shd w:val="clear" w:color="auto" w:fill="FF99FF"/>
        </w:rPr>
        <w:t xml:space="preserve">Materials </w:t>
      </w:r>
      <w:r w:rsidR="00BE72E5" w:rsidRPr="00397B93">
        <w:rPr>
          <w:b/>
          <w:sz w:val="24"/>
          <w:shd w:val="clear" w:color="auto" w:fill="FF99FF"/>
        </w:rPr>
        <w:t xml:space="preserve">submitted by a faculty member for evaluation following </w:t>
      </w:r>
      <w:r w:rsidR="00AE5C34">
        <w:rPr>
          <w:b/>
          <w:sz w:val="24"/>
          <w:shd w:val="clear" w:color="auto" w:fill="FF99FF"/>
        </w:rPr>
        <w:t>continuous</w:t>
      </w:r>
      <w:r w:rsidR="00BE72E5" w:rsidRPr="00397B93">
        <w:rPr>
          <w:b/>
          <w:sz w:val="24"/>
          <w:shd w:val="clear" w:color="auto" w:fill="FF99FF"/>
        </w:rPr>
        <w:t xml:space="preserve"> appointment should, at minimum, include the following</w:t>
      </w:r>
      <w:r w:rsidR="00BE72E5" w:rsidRPr="006B18E4">
        <w:rPr>
          <w:b/>
          <w:sz w:val="24"/>
        </w:rPr>
        <w:t>:</w:t>
      </w:r>
    </w:p>
    <w:p w14:paraId="155DC1C7" w14:textId="0129C115" w:rsidR="00BE72E5" w:rsidRPr="006B18E4" w:rsidRDefault="00BE72E5" w:rsidP="00747A88">
      <w:pPr>
        <w:pStyle w:val="ListParagraph"/>
        <w:numPr>
          <w:ilvl w:val="0"/>
          <w:numId w:val="12"/>
        </w:numPr>
        <w:shd w:val="clear" w:color="auto" w:fill="FF99FF"/>
        <w:tabs>
          <w:tab w:val="left" w:pos="1260"/>
          <w:tab w:val="left" w:pos="6960"/>
        </w:tabs>
        <w:ind w:left="1260" w:hanging="180"/>
        <w:rPr>
          <w:b/>
          <w:sz w:val="24"/>
        </w:rPr>
      </w:pPr>
      <w:r w:rsidRPr="006B18E4">
        <w:rPr>
          <w:sz w:val="24"/>
        </w:rPr>
        <w:t>A cumulative self-appraisal that reflects the areas of work as described in the NTT instructional faculty member’s job description and highlights activities and achievement</w:t>
      </w:r>
      <w:r w:rsidR="00747A88">
        <w:rPr>
          <w:sz w:val="24"/>
        </w:rPr>
        <w:t>;</w:t>
      </w:r>
    </w:p>
    <w:p w14:paraId="48DF997A" w14:textId="77777777" w:rsidR="00BE72E5" w:rsidRPr="006B18E4" w:rsidRDefault="00BE72E5" w:rsidP="00747A88">
      <w:pPr>
        <w:pStyle w:val="ListParagraph"/>
        <w:numPr>
          <w:ilvl w:val="0"/>
          <w:numId w:val="12"/>
        </w:numPr>
        <w:shd w:val="clear" w:color="auto" w:fill="FF99FF"/>
        <w:tabs>
          <w:tab w:val="left" w:pos="1260"/>
          <w:tab w:val="left" w:pos="6960"/>
        </w:tabs>
        <w:ind w:left="1260" w:hanging="180"/>
        <w:rPr>
          <w:b/>
          <w:sz w:val="24"/>
        </w:rPr>
      </w:pPr>
      <w:r w:rsidRPr="006B18E4">
        <w:rPr>
          <w:sz w:val="24"/>
        </w:rPr>
        <w:lastRenderedPageBreak/>
        <w:t>Current curriculum vitae following applicable sections of the PSU P&amp;T format approved by the Provost;</w:t>
      </w:r>
    </w:p>
    <w:p w14:paraId="450FC146" w14:textId="31BFED7F" w:rsidR="00BE72E5" w:rsidRPr="006B18E4" w:rsidRDefault="00C216D2" w:rsidP="00747A88">
      <w:pPr>
        <w:pStyle w:val="ListParagraph"/>
        <w:numPr>
          <w:ilvl w:val="0"/>
          <w:numId w:val="12"/>
        </w:numPr>
        <w:shd w:val="clear" w:color="auto" w:fill="FF99FF"/>
        <w:tabs>
          <w:tab w:val="left" w:pos="1260"/>
          <w:tab w:val="left" w:pos="6960"/>
        </w:tabs>
        <w:ind w:left="1260" w:hanging="180"/>
        <w:rPr>
          <w:b/>
          <w:sz w:val="24"/>
        </w:rPr>
      </w:pPr>
      <w:r>
        <w:rPr>
          <w:sz w:val="24"/>
        </w:rPr>
        <w:t>Appropriate and r</w:t>
      </w:r>
      <w:r w:rsidR="00BE72E5" w:rsidRPr="006B18E4">
        <w:rPr>
          <w:sz w:val="24"/>
        </w:rPr>
        <w:t>elevant quantitative and/or qualitative summaries of student evaluations</w:t>
      </w:r>
      <w:r>
        <w:rPr>
          <w:sz w:val="24"/>
        </w:rPr>
        <w:t xml:space="preserve"> as defined for this purpose by the department (i.e., mean and standard deviation, or median and interquartile range)</w:t>
      </w:r>
      <w:r w:rsidR="00BE72E5" w:rsidRPr="006B18E4">
        <w:rPr>
          <w:sz w:val="24"/>
        </w:rPr>
        <w:t xml:space="preserve"> or appropriate assessment</w:t>
      </w:r>
      <w:r w:rsidR="00E562DC">
        <w:rPr>
          <w:sz w:val="24"/>
        </w:rPr>
        <w:t>s</w:t>
      </w:r>
      <w:r w:rsidR="00BE72E5" w:rsidRPr="006B18E4">
        <w:rPr>
          <w:sz w:val="24"/>
        </w:rPr>
        <w:t xml:space="preserve"> of teaching since the last review</w:t>
      </w:r>
      <w:r w:rsidR="00747A88">
        <w:rPr>
          <w:sz w:val="24"/>
        </w:rPr>
        <w:t>;</w:t>
      </w:r>
    </w:p>
    <w:p w14:paraId="0876801C" w14:textId="77777777" w:rsidR="00BE72E5" w:rsidRPr="006B18E4" w:rsidRDefault="00BE72E5" w:rsidP="00B84E58">
      <w:pPr>
        <w:pStyle w:val="ListParagraph"/>
        <w:numPr>
          <w:ilvl w:val="0"/>
          <w:numId w:val="12"/>
        </w:numPr>
        <w:shd w:val="clear" w:color="auto" w:fill="FF99FF"/>
        <w:tabs>
          <w:tab w:val="left" w:pos="1260"/>
          <w:tab w:val="left" w:pos="6960"/>
        </w:tabs>
        <w:rPr>
          <w:b/>
          <w:sz w:val="24"/>
        </w:rPr>
      </w:pPr>
      <w:r w:rsidRPr="006B18E4">
        <w:rPr>
          <w:sz w:val="24"/>
        </w:rPr>
        <w:t>Representative syllabi and/or other pedagogical materials from the review period.</w:t>
      </w:r>
    </w:p>
    <w:p w14:paraId="451D784E" w14:textId="77777777" w:rsidR="00397B93" w:rsidRPr="00AE13D1" w:rsidRDefault="00397B93" w:rsidP="009E7330">
      <w:pPr>
        <w:shd w:val="clear" w:color="auto" w:fill="FFFFFF" w:themeFill="background1"/>
        <w:tabs>
          <w:tab w:val="left" w:pos="1260"/>
        </w:tabs>
        <w:outlineLvl w:val="0"/>
        <w:rPr>
          <w:b/>
          <w:sz w:val="24"/>
        </w:rPr>
      </w:pPr>
      <w:r>
        <w:rPr>
          <w:b/>
          <w:sz w:val="24"/>
        </w:rPr>
        <w:tab/>
      </w:r>
      <w:r w:rsidRPr="00AE13D1">
        <w:rPr>
          <w:b/>
          <w:sz w:val="24"/>
          <w:highlight w:val="yellow"/>
        </w:rPr>
        <w:t>Department may add other requirements as appropriate</w:t>
      </w:r>
      <w:r w:rsidRPr="00AE13D1">
        <w:rPr>
          <w:b/>
          <w:sz w:val="24"/>
        </w:rPr>
        <w:t>.</w:t>
      </w:r>
    </w:p>
    <w:p w14:paraId="169D22C7" w14:textId="77777777" w:rsidR="00BE72E5" w:rsidRPr="006B18E4" w:rsidRDefault="00BE72E5" w:rsidP="00B84E58">
      <w:pPr>
        <w:shd w:val="clear" w:color="auto" w:fill="FFFFFF" w:themeFill="background1"/>
        <w:tabs>
          <w:tab w:val="left" w:pos="1260"/>
          <w:tab w:val="left" w:pos="6960"/>
        </w:tabs>
        <w:ind w:left="720"/>
        <w:rPr>
          <w:b/>
          <w:sz w:val="24"/>
        </w:rPr>
      </w:pPr>
      <w:r w:rsidRPr="00397B93">
        <w:rPr>
          <w:b/>
          <w:sz w:val="24"/>
          <w:shd w:val="clear" w:color="auto" w:fill="FF99FF"/>
        </w:rPr>
        <w:t>Materials submitted by a faculty member for evaluation following continuous appointment may include, but are not limited to</w:t>
      </w:r>
      <w:r w:rsidRPr="006B18E4">
        <w:rPr>
          <w:b/>
          <w:sz w:val="24"/>
        </w:rPr>
        <w:t>:</w:t>
      </w:r>
    </w:p>
    <w:p w14:paraId="254BE8FD" w14:textId="77777777" w:rsidR="00BE72E5" w:rsidRPr="006B18E4" w:rsidRDefault="00BE72E5" w:rsidP="00B84E58">
      <w:pPr>
        <w:pStyle w:val="ListParagraph"/>
        <w:numPr>
          <w:ilvl w:val="0"/>
          <w:numId w:val="8"/>
        </w:numPr>
        <w:shd w:val="clear" w:color="auto" w:fill="FF99FF"/>
        <w:tabs>
          <w:tab w:val="left" w:pos="1260"/>
          <w:tab w:val="left" w:pos="6960"/>
        </w:tabs>
        <w:rPr>
          <w:sz w:val="24"/>
        </w:rPr>
      </w:pPr>
      <w:r w:rsidRPr="006B18E4">
        <w:rPr>
          <w:sz w:val="24"/>
        </w:rPr>
        <w:t>Peer evaluation of teaching and curricular innovation;</w:t>
      </w:r>
    </w:p>
    <w:p w14:paraId="6C35EA54" w14:textId="77777777" w:rsidR="00BE72E5" w:rsidRPr="006B18E4" w:rsidRDefault="00BE72E5" w:rsidP="00747A88">
      <w:pPr>
        <w:pStyle w:val="ListParagraph"/>
        <w:numPr>
          <w:ilvl w:val="0"/>
          <w:numId w:val="8"/>
        </w:numPr>
        <w:shd w:val="clear" w:color="auto" w:fill="FF99FF"/>
        <w:tabs>
          <w:tab w:val="left" w:pos="1260"/>
          <w:tab w:val="left" w:pos="6960"/>
        </w:tabs>
        <w:ind w:left="1260" w:hanging="180"/>
        <w:rPr>
          <w:sz w:val="24"/>
        </w:rPr>
      </w:pPr>
      <w:r w:rsidRPr="006B18E4">
        <w:rPr>
          <w:sz w:val="24"/>
        </w:rPr>
        <w:t>Description of professional development activities intended to advance job performance;</w:t>
      </w:r>
    </w:p>
    <w:p w14:paraId="6B6B9019" w14:textId="77777777" w:rsidR="00BE72E5" w:rsidRPr="006B18E4" w:rsidRDefault="00BE72E5" w:rsidP="00B84E58">
      <w:pPr>
        <w:pStyle w:val="ListParagraph"/>
        <w:numPr>
          <w:ilvl w:val="0"/>
          <w:numId w:val="8"/>
        </w:numPr>
        <w:shd w:val="clear" w:color="auto" w:fill="FF99FF"/>
        <w:tabs>
          <w:tab w:val="left" w:pos="1260"/>
          <w:tab w:val="left" w:pos="6960"/>
        </w:tabs>
        <w:rPr>
          <w:sz w:val="24"/>
        </w:rPr>
      </w:pPr>
      <w:r w:rsidRPr="006B18E4">
        <w:rPr>
          <w:sz w:val="24"/>
        </w:rPr>
        <w:t>A reflective analysis of student and/or peer evaluations of teaching;</w:t>
      </w:r>
    </w:p>
    <w:p w14:paraId="18840B64" w14:textId="77777777" w:rsidR="00BE72E5" w:rsidRPr="006B18E4" w:rsidRDefault="00BE72E5" w:rsidP="00747A88">
      <w:pPr>
        <w:pStyle w:val="ListParagraph"/>
        <w:numPr>
          <w:ilvl w:val="0"/>
          <w:numId w:val="8"/>
        </w:numPr>
        <w:shd w:val="clear" w:color="auto" w:fill="FF99FF"/>
        <w:tabs>
          <w:tab w:val="left" w:pos="1260"/>
          <w:tab w:val="left" w:pos="6960"/>
        </w:tabs>
        <w:ind w:left="1260" w:hanging="180"/>
        <w:rPr>
          <w:sz w:val="24"/>
        </w:rPr>
      </w:pPr>
      <w:r w:rsidRPr="006B18E4">
        <w:rPr>
          <w:sz w:val="24"/>
        </w:rPr>
        <w:t xml:space="preserve">Evidence of ability to work effectively with individuals from and topics related to diverse populations; and </w:t>
      </w:r>
    </w:p>
    <w:p w14:paraId="1CB5BBFE" w14:textId="77777777" w:rsidR="006F7CC1" w:rsidRDefault="00BE72E5" w:rsidP="00B84E58">
      <w:pPr>
        <w:pStyle w:val="ListParagraph"/>
        <w:numPr>
          <w:ilvl w:val="0"/>
          <w:numId w:val="8"/>
        </w:numPr>
        <w:shd w:val="clear" w:color="auto" w:fill="FF99FF"/>
        <w:tabs>
          <w:tab w:val="left" w:pos="1260"/>
          <w:tab w:val="left" w:pos="6960"/>
        </w:tabs>
        <w:rPr>
          <w:sz w:val="24"/>
        </w:rPr>
      </w:pPr>
      <w:r w:rsidRPr="006B18E4">
        <w:rPr>
          <w:sz w:val="24"/>
        </w:rPr>
        <w:t>Evidence of service activities related to unit mission.</w:t>
      </w:r>
    </w:p>
    <w:p w14:paraId="02F9CFC0" w14:textId="77777777" w:rsidR="00397B93" w:rsidRPr="00AE13D1" w:rsidRDefault="00397B93" w:rsidP="009E7330">
      <w:pPr>
        <w:shd w:val="clear" w:color="auto" w:fill="FFFFFF" w:themeFill="background1"/>
        <w:tabs>
          <w:tab w:val="left" w:pos="1260"/>
        </w:tabs>
        <w:outlineLvl w:val="0"/>
        <w:rPr>
          <w:b/>
          <w:sz w:val="24"/>
        </w:rPr>
      </w:pPr>
      <w:r>
        <w:rPr>
          <w:b/>
          <w:sz w:val="24"/>
        </w:rPr>
        <w:tab/>
      </w:r>
      <w:r w:rsidRPr="00AE13D1">
        <w:rPr>
          <w:b/>
          <w:sz w:val="24"/>
          <w:highlight w:val="yellow"/>
        </w:rPr>
        <w:t>Department may add other requirements as appropriate</w:t>
      </w:r>
      <w:r w:rsidRPr="00AE13D1">
        <w:rPr>
          <w:b/>
          <w:sz w:val="24"/>
        </w:rPr>
        <w:t>.</w:t>
      </w:r>
    </w:p>
    <w:p w14:paraId="44A3AF5F" w14:textId="77777777" w:rsidR="001A3591" w:rsidRPr="00CF6C50" w:rsidRDefault="001A3591" w:rsidP="00CF6C50">
      <w:pPr>
        <w:shd w:val="clear" w:color="auto" w:fill="FF99FF"/>
        <w:spacing w:line="245" w:lineRule="auto"/>
        <w:ind w:left="720" w:right="123"/>
        <w:rPr>
          <w:rFonts w:cs="Times New Roman"/>
          <w:sz w:val="24"/>
          <w:szCs w:val="24"/>
        </w:rPr>
      </w:pPr>
      <w:r w:rsidRPr="00CF6C50">
        <w:rPr>
          <w:rFonts w:cs="Times New Roman"/>
          <w:sz w:val="24"/>
          <w:szCs w:val="24"/>
        </w:rPr>
        <w:t>In the event of an unsatisfactory evaluation, the faculty member and department chair or chair equivalent will meet to discuss the deficiencies identified in the review. Following the meeting, the chair will develop a remediation plan to address the deficiencies. If the faculty member disagrees with the remediation plan, the faculty member may appeal to the dean or the dean's designee, who shall review the plan and make the final decision regarding the contents of the plan. The remediation plan is to be developed before the end of the academic year in which the unsatisfactory evaluation occurred. If the chair and faculty member identify resources that would assist with the remediation plan, a request for access to such resources will be made to and considered by the Dean. Resource unavailability could result in modification or extension of the remediation plan.</w:t>
      </w:r>
      <w:r w:rsidRPr="00CF6C50">
        <w:rPr>
          <w:rFonts w:cs="Times New Roman"/>
          <w:sz w:val="24"/>
          <w:szCs w:val="24"/>
          <w:vertAlign w:val="superscript"/>
        </w:rPr>
        <w:footnoteReference w:id="1"/>
      </w:r>
    </w:p>
    <w:p w14:paraId="568BB950" w14:textId="77777777" w:rsidR="001A3591" w:rsidRPr="00CF6C50" w:rsidRDefault="001A3591" w:rsidP="00CF6C50">
      <w:pPr>
        <w:shd w:val="clear" w:color="auto" w:fill="FF99FF"/>
        <w:tabs>
          <w:tab w:val="left" w:pos="1188"/>
        </w:tabs>
        <w:spacing w:before="29" w:line="240" w:lineRule="auto"/>
        <w:ind w:left="720" w:right="232"/>
        <w:rPr>
          <w:rFonts w:cs="Times New Roman"/>
          <w:sz w:val="24"/>
          <w:szCs w:val="24"/>
        </w:rPr>
      </w:pPr>
      <w:r w:rsidRPr="00CF6C50">
        <w:rPr>
          <w:rFonts w:cs="Times New Roman"/>
          <w:sz w:val="24"/>
          <w:szCs w:val="24"/>
        </w:rPr>
        <w:t>Progress on the remediation plan is to be assessed and communicated on a regular basis during the subsequent academic year. At a minimum, the chair and the faculty member will meet near the beginning of the fall term to review the remediation plan and near the end of the fall term to review the faculty member's progress on the remediation plan. Prior to the end of fall term, the chair is to provide the faculty member with a written assessment of progress on the remediation plan, including identification of any issues that have not yet been successfully remediated.</w:t>
      </w:r>
    </w:p>
    <w:p w14:paraId="49510ED3" w14:textId="77777777" w:rsidR="001A3591" w:rsidRPr="00CF6C50" w:rsidRDefault="001A3591" w:rsidP="00CF6C50">
      <w:pPr>
        <w:shd w:val="clear" w:color="auto" w:fill="FF99FF"/>
        <w:tabs>
          <w:tab w:val="left" w:pos="1188"/>
        </w:tabs>
        <w:spacing w:before="28" w:line="240" w:lineRule="auto"/>
        <w:ind w:left="720" w:right="319"/>
        <w:rPr>
          <w:rFonts w:cs="Times New Roman"/>
          <w:sz w:val="24"/>
          <w:szCs w:val="24"/>
        </w:rPr>
      </w:pPr>
      <w:bookmarkStart w:id="1" w:name="h.gjdgxs" w:colFirst="0" w:colLast="0"/>
      <w:bookmarkEnd w:id="1"/>
      <w:r w:rsidRPr="00CF6C50">
        <w:rPr>
          <w:rFonts w:cs="Times New Roman"/>
          <w:sz w:val="24"/>
          <w:szCs w:val="24"/>
        </w:rPr>
        <w:lastRenderedPageBreak/>
        <w:t>At any point in the process, the chair can determine that the remediation plan has been successfully completed, at which time the chair shall notify the faculty member and conclude the remediation process.</w:t>
      </w:r>
    </w:p>
    <w:p w14:paraId="45B2898C" w14:textId="77777777" w:rsidR="001A3591" w:rsidRPr="00CF6C50" w:rsidRDefault="001A3591" w:rsidP="00CF6C50">
      <w:pPr>
        <w:shd w:val="clear" w:color="auto" w:fill="FF99FF"/>
        <w:tabs>
          <w:tab w:val="left" w:pos="1193"/>
        </w:tabs>
        <w:spacing w:before="24" w:line="241" w:lineRule="auto"/>
        <w:ind w:left="720" w:right="232"/>
        <w:rPr>
          <w:rFonts w:cs="Times New Roman"/>
          <w:sz w:val="24"/>
          <w:szCs w:val="24"/>
        </w:rPr>
      </w:pPr>
      <w:r w:rsidRPr="00CF6C50">
        <w:rPr>
          <w:rFonts w:cs="Times New Roman"/>
          <w:sz w:val="24"/>
          <w:szCs w:val="24"/>
        </w:rPr>
        <w:t>Around the end of the winter term of the academic year following the unsatisfactory evaluation, the chair is to notify the faculty member whether the remediation plan has been successfully completed. If the plan has not been successfully completed, the chair may either extend the plan for an additional academic term or provide the faculty member with notice of termination. A remediation plan may be extended by the chair for up to three academic terms. A notice of termination provided under this section shall be provided to the member, Dean, Provost, and the Association and shall be effective no sooner than the end of the subsequent academic term.</w:t>
      </w:r>
    </w:p>
    <w:p w14:paraId="6D5391FA" w14:textId="77777777" w:rsidR="001A3591" w:rsidRDefault="001A3591" w:rsidP="009151AE">
      <w:pPr>
        <w:tabs>
          <w:tab w:val="left" w:pos="1260"/>
        </w:tabs>
        <w:ind w:left="720"/>
        <w:rPr>
          <w:sz w:val="24"/>
        </w:rPr>
      </w:pPr>
    </w:p>
    <w:p w14:paraId="3229C6C1" w14:textId="58D65A4D" w:rsidR="002C769B" w:rsidRPr="006B18E4" w:rsidRDefault="009151AE" w:rsidP="009E7330">
      <w:pPr>
        <w:widowControl w:val="0"/>
        <w:shd w:val="clear" w:color="auto" w:fill="FFFFFF" w:themeFill="background1"/>
        <w:tabs>
          <w:tab w:val="left" w:pos="1193"/>
          <w:tab w:val="left" w:pos="1260"/>
        </w:tabs>
        <w:spacing w:before="24" w:line="241" w:lineRule="auto"/>
        <w:ind w:left="720" w:right="232" w:hanging="720"/>
        <w:outlineLvl w:val="0"/>
        <w:rPr>
          <w:b/>
          <w:sz w:val="28"/>
        </w:rPr>
      </w:pPr>
      <w:r w:rsidRPr="006B18E4">
        <w:rPr>
          <w:b/>
          <w:sz w:val="28"/>
        </w:rPr>
        <w:t xml:space="preserve">I. </w:t>
      </w:r>
      <w:r w:rsidR="002C769B" w:rsidRPr="006B18E4">
        <w:rPr>
          <w:b/>
          <w:sz w:val="28"/>
        </w:rPr>
        <w:t xml:space="preserve">Conditions </w:t>
      </w:r>
      <w:r w:rsidR="002C769B" w:rsidRPr="006B18E4">
        <w:rPr>
          <w:b/>
          <w:sz w:val="28"/>
        </w:rPr>
        <w:t xml:space="preserve">Under Which Continuous Employment May be Terminated </w:t>
      </w:r>
    </w:p>
    <w:p w14:paraId="07BAAF16" w14:textId="2DA86F3B" w:rsidR="006D5B5C" w:rsidRPr="006D5B5C" w:rsidRDefault="006D5B5C" w:rsidP="00B84E58">
      <w:pPr>
        <w:shd w:val="clear" w:color="auto" w:fill="FFFFFF" w:themeFill="background1"/>
        <w:tabs>
          <w:tab w:val="left" w:pos="720"/>
          <w:tab w:val="left" w:pos="810"/>
          <w:tab w:val="left" w:pos="1260"/>
          <w:tab w:val="left" w:pos="3030"/>
        </w:tabs>
        <w:rPr>
          <w:sz w:val="24"/>
        </w:rPr>
      </w:pPr>
      <w:r>
        <w:rPr>
          <w:sz w:val="24"/>
        </w:rPr>
        <w:tab/>
      </w:r>
      <w:r w:rsidRPr="00CF6C50">
        <w:rPr>
          <w:sz w:val="24"/>
        </w:rPr>
        <w:t xml:space="preserve">Refer to </w:t>
      </w:r>
      <w:r w:rsidR="009151AE">
        <w:rPr>
          <w:sz w:val="24"/>
        </w:rPr>
        <w:t xml:space="preserve">the </w:t>
      </w:r>
      <w:r w:rsidRPr="00CF6C50">
        <w:rPr>
          <w:sz w:val="24"/>
        </w:rPr>
        <w:t xml:space="preserve">AAUP CBA, </w:t>
      </w:r>
      <w:r w:rsidR="009151AE">
        <w:rPr>
          <w:sz w:val="24"/>
        </w:rPr>
        <w:t>Article 18, Sect. 2(e) (pgs. 23-24)</w:t>
      </w:r>
      <w:r w:rsidRPr="006D5B5C">
        <w:rPr>
          <w:sz w:val="24"/>
        </w:rPr>
        <w:t>.</w:t>
      </w:r>
    </w:p>
    <w:sectPr w:rsidR="006D5B5C" w:rsidRPr="006D5B5C" w:rsidSect="00E27AD2">
      <w:headerReference w:type="default" r:id="rId8"/>
      <w:footerReference w:type="default" r:id="rId9"/>
      <w:pgSz w:w="12240" w:h="15840"/>
      <w:pgMar w:top="1215" w:right="144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5719F8" w14:textId="77777777" w:rsidR="00560167" w:rsidRDefault="00560167" w:rsidP="00E27AD2">
      <w:pPr>
        <w:spacing w:after="0" w:line="240" w:lineRule="auto"/>
      </w:pPr>
      <w:r>
        <w:separator/>
      </w:r>
    </w:p>
  </w:endnote>
  <w:endnote w:type="continuationSeparator" w:id="0">
    <w:p w14:paraId="5138A1F1" w14:textId="77777777" w:rsidR="00560167" w:rsidRDefault="00560167" w:rsidP="00E27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72814" w14:textId="77777777" w:rsidR="00DB1DE3" w:rsidRDefault="00DB1DE3">
    <w:pPr>
      <w:pStyle w:val="Footer"/>
      <w:jc w:val="right"/>
    </w:pPr>
    <w:r>
      <w:t xml:space="preserve">Page </w:t>
    </w:r>
    <w:sdt>
      <w:sdtPr>
        <w:id w:val="-123339588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D0D12">
          <w:rPr>
            <w:noProof/>
          </w:rPr>
          <w:t>2</w:t>
        </w:r>
        <w:r>
          <w:rPr>
            <w:noProof/>
          </w:rPr>
          <w:fldChar w:fldCharType="end"/>
        </w:r>
      </w:sdtContent>
    </w:sdt>
  </w:p>
  <w:p w14:paraId="77D96FB6" w14:textId="77777777" w:rsidR="00DB1DE3" w:rsidRDefault="00DB1D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6BF62E" w14:textId="77777777" w:rsidR="00560167" w:rsidRDefault="00560167" w:rsidP="00E27AD2">
      <w:pPr>
        <w:spacing w:after="0" w:line="240" w:lineRule="auto"/>
      </w:pPr>
      <w:r>
        <w:separator/>
      </w:r>
    </w:p>
  </w:footnote>
  <w:footnote w:type="continuationSeparator" w:id="0">
    <w:p w14:paraId="66E1ED10" w14:textId="77777777" w:rsidR="00560167" w:rsidRDefault="00560167" w:rsidP="00E27AD2">
      <w:pPr>
        <w:spacing w:after="0" w:line="240" w:lineRule="auto"/>
      </w:pPr>
      <w:r>
        <w:continuationSeparator/>
      </w:r>
    </w:p>
  </w:footnote>
  <w:footnote w:id="1">
    <w:p w14:paraId="51AE309D" w14:textId="77777777" w:rsidR="001A3591" w:rsidRDefault="001A3591" w:rsidP="001A3591">
      <w:pPr>
        <w:spacing w:line="240" w:lineRule="auto"/>
      </w:pPr>
      <w:r w:rsidRPr="000B007E">
        <w:rPr>
          <w:vertAlign w:val="superscript"/>
        </w:rPr>
        <w:footnoteRef/>
      </w:r>
      <w:r w:rsidRPr="000B007E">
        <w:rPr>
          <w:sz w:val="20"/>
          <w:szCs w:val="20"/>
        </w:rPr>
        <w:t xml:space="preserve"> 2016-2019 CBA, Sec. 2 g (also including following three paragraphs)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8C24B" w14:textId="7FBA5923" w:rsidR="00DB1DE3" w:rsidRPr="00D73EFB" w:rsidRDefault="00DB1DE3" w:rsidP="00E27AD2">
    <w:pPr>
      <w:pStyle w:val="Header"/>
      <w:tabs>
        <w:tab w:val="left" w:pos="1935"/>
      </w:tabs>
      <w:rPr>
        <w:i/>
        <w:sz w:val="18"/>
      </w:rPr>
    </w:pPr>
    <w:r>
      <w:rPr>
        <w:sz w:val="18"/>
      </w:rPr>
      <w:tab/>
    </w:r>
    <w:r>
      <w:rPr>
        <w:sz w:val="18"/>
      </w:rPr>
      <w:tab/>
    </w:r>
    <w:r>
      <w:rPr>
        <w:sz w:val="18"/>
      </w:rPr>
      <w:tab/>
    </w:r>
    <w:r w:rsidR="00D73EFB" w:rsidRPr="00D73EFB">
      <w:rPr>
        <w:i/>
        <w:sz w:val="16"/>
      </w:rPr>
      <w:t>Version: 5/16/17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D406E"/>
    <w:multiLevelType w:val="multilevel"/>
    <w:tmpl w:val="6ECAD0E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6C1CBC"/>
    <w:multiLevelType w:val="hybridMultilevel"/>
    <w:tmpl w:val="2A9E649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26512"/>
    <w:multiLevelType w:val="hybridMultilevel"/>
    <w:tmpl w:val="232CC5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535FCC"/>
    <w:multiLevelType w:val="hybridMultilevel"/>
    <w:tmpl w:val="BF246B6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F03107C"/>
    <w:multiLevelType w:val="hybridMultilevel"/>
    <w:tmpl w:val="0A328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0B338C"/>
    <w:multiLevelType w:val="multilevel"/>
    <w:tmpl w:val="BACCD474"/>
    <w:lvl w:ilvl="0">
      <w:start w:val="1"/>
      <w:numFmt w:val="decimal"/>
      <w:lvlText w:val="%1."/>
      <w:lvlJc w:val="left"/>
      <w:pPr>
        <w:ind w:left="2160" w:hanging="360"/>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6" w15:restartNumberingAfterBreak="0">
    <w:nsid w:val="22F43501"/>
    <w:multiLevelType w:val="hybridMultilevel"/>
    <w:tmpl w:val="6400CA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8284752"/>
    <w:multiLevelType w:val="hybridMultilevel"/>
    <w:tmpl w:val="A4FE11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356205"/>
    <w:multiLevelType w:val="multilevel"/>
    <w:tmpl w:val="50BC99C4"/>
    <w:lvl w:ilvl="0">
      <w:start w:val="4"/>
      <w:numFmt w:val="lowerRoman"/>
      <w:lvlText w:val="%1."/>
      <w:lvlJc w:val="left"/>
      <w:pPr>
        <w:ind w:left="2672" w:firstLine="1952"/>
      </w:pPr>
    </w:lvl>
    <w:lvl w:ilvl="1">
      <w:start w:val="1"/>
      <w:numFmt w:val="lowerLetter"/>
      <w:lvlText w:val="%2."/>
      <w:lvlJc w:val="left"/>
      <w:pPr>
        <w:ind w:left="3032" w:firstLine="2672"/>
      </w:pPr>
    </w:lvl>
    <w:lvl w:ilvl="2">
      <w:start w:val="1"/>
      <w:numFmt w:val="lowerRoman"/>
      <w:lvlText w:val="%3."/>
      <w:lvlJc w:val="right"/>
      <w:pPr>
        <w:ind w:left="3752" w:firstLine="3572"/>
      </w:pPr>
    </w:lvl>
    <w:lvl w:ilvl="3">
      <w:start w:val="1"/>
      <w:numFmt w:val="decimal"/>
      <w:lvlText w:val="%4."/>
      <w:lvlJc w:val="left"/>
      <w:pPr>
        <w:ind w:left="4472" w:firstLine="4112"/>
      </w:pPr>
    </w:lvl>
    <w:lvl w:ilvl="4">
      <w:start w:val="1"/>
      <w:numFmt w:val="lowerLetter"/>
      <w:lvlText w:val="%5."/>
      <w:lvlJc w:val="left"/>
      <w:pPr>
        <w:ind w:left="5192" w:firstLine="4832"/>
      </w:pPr>
    </w:lvl>
    <w:lvl w:ilvl="5">
      <w:start w:val="1"/>
      <w:numFmt w:val="lowerRoman"/>
      <w:lvlText w:val="%6."/>
      <w:lvlJc w:val="right"/>
      <w:pPr>
        <w:ind w:left="5912" w:firstLine="5732"/>
      </w:pPr>
    </w:lvl>
    <w:lvl w:ilvl="6">
      <w:start w:val="1"/>
      <w:numFmt w:val="decimal"/>
      <w:lvlText w:val="%7."/>
      <w:lvlJc w:val="left"/>
      <w:pPr>
        <w:ind w:left="6632" w:firstLine="6272"/>
      </w:pPr>
    </w:lvl>
    <w:lvl w:ilvl="7">
      <w:start w:val="1"/>
      <w:numFmt w:val="lowerLetter"/>
      <w:lvlText w:val="%8."/>
      <w:lvlJc w:val="left"/>
      <w:pPr>
        <w:ind w:left="7352" w:firstLine="6992"/>
      </w:pPr>
    </w:lvl>
    <w:lvl w:ilvl="8">
      <w:start w:val="1"/>
      <w:numFmt w:val="lowerRoman"/>
      <w:lvlText w:val="%9."/>
      <w:lvlJc w:val="right"/>
      <w:pPr>
        <w:ind w:left="8072" w:firstLine="7892"/>
      </w:pPr>
    </w:lvl>
  </w:abstractNum>
  <w:abstractNum w:abstractNumId="9" w15:restartNumberingAfterBreak="0">
    <w:nsid w:val="2F9828B6"/>
    <w:multiLevelType w:val="hybridMultilevel"/>
    <w:tmpl w:val="235A7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F31340"/>
    <w:multiLevelType w:val="hybridMultilevel"/>
    <w:tmpl w:val="7D6AD2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97571D2"/>
    <w:multiLevelType w:val="hybridMultilevel"/>
    <w:tmpl w:val="A6B4F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8B2243"/>
    <w:multiLevelType w:val="hybridMultilevel"/>
    <w:tmpl w:val="335A8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2E87292"/>
    <w:multiLevelType w:val="hybridMultilevel"/>
    <w:tmpl w:val="17ECF8A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66513B"/>
    <w:multiLevelType w:val="hybridMultilevel"/>
    <w:tmpl w:val="EF38DDD8"/>
    <w:lvl w:ilvl="0" w:tplc="512A124A">
      <w:start w:val="1"/>
      <w:numFmt w:val="decimal"/>
      <w:lvlText w:val="%1."/>
      <w:lvlJc w:val="left"/>
      <w:pPr>
        <w:ind w:left="1560" w:hanging="360"/>
      </w:pPr>
      <w:rPr>
        <w:rFonts w:hint="default"/>
      </w:rPr>
    </w:lvl>
    <w:lvl w:ilvl="1" w:tplc="04090019">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5" w15:restartNumberingAfterBreak="0">
    <w:nsid w:val="47874005"/>
    <w:multiLevelType w:val="hybridMultilevel"/>
    <w:tmpl w:val="65DE7E3A"/>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C017A1D"/>
    <w:multiLevelType w:val="multilevel"/>
    <w:tmpl w:val="8DA43C5A"/>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5562645D"/>
    <w:multiLevelType w:val="hybridMultilevel"/>
    <w:tmpl w:val="28849F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77029B9"/>
    <w:multiLevelType w:val="hybridMultilevel"/>
    <w:tmpl w:val="B92446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9320EC8"/>
    <w:multiLevelType w:val="hybridMultilevel"/>
    <w:tmpl w:val="9640A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D98558D"/>
    <w:multiLevelType w:val="hybridMultilevel"/>
    <w:tmpl w:val="76225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68D7930"/>
    <w:multiLevelType w:val="hybridMultilevel"/>
    <w:tmpl w:val="EA36B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7D77B03"/>
    <w:multiLevelType w:val="multilevel"/>
    <w:tmpl w:val="D430BCCC"/>
    <w:lvl w:ilvl="0">
      <w:start w:val="2"/>
      <w:numFmt w:val="lowerRoman"/>
      <w:lvlText w:val="%1."/>
      <w:lvlJc w:val="left"/>
      <w:pPr>
        <w:ind w:left="2672" w:firstLine="1952"/>
      </w:pPr>
    </w:lvl>
    <w:lvl w:ilvl="1">
      <w:start w:val="1"/>
      <w:numFmt w:val="lowerLetter"/>
      <w:lvlText w:val="%2."/>
      <w:lvlJc w:val="left"/>
      <w:pPr>
        <w:ind w:left="3032" w:firstLine="2672"/>
      </w:pPr>
    </w:lvl>
    <w:lvl w:ilvl="2">
      <w:start w:val="1"/>
      <w:numFmt w:val="lowerRoman"/>
      <w:lvlText w:val="%3."/>
      <w:lvlJc w:val="right"/>
      <w:pPr>
        <w:ind w:left="3752" w:firstLine="3572"/>
      </w:pPr>
    </w:lvl>
    <w:lvl w:ilvl="3">
      <w:start w:val="1"/>
      <w:numFmt w:val="decimal"/>
      <w:lvlText w:val="%4."/>
      <w:lvlJc w:val="left"/>
      <w:pPr>
        <w:ind w:left="4472" w:firstLine="4112"/>
      </w:pPr>
    </w:lvl>
    <w:lvl w:ilvl="4">
      <w:start w:val="1"/>
      <w:numFmt w:val="lowerLetter"/>
      <w:lvlText w:val="%5."/>
      <w:lvlJc w:val="left"/>
      <w:pPr>
        <w:ind w:left="5192" w:firstLine="4832"/>
      </w:pPr>
    </w:lvl>
    <w:lvl w:ilvl="5">
      <w:start w:val="1"/>
      <w:numFmt w:val="lowerRoman"/>
      <w:lvlText w:val="%6."/>
      <w:lvlJc w:val="right"/>
      <w:pPr>
        <w:ind w:left="5912" w:firstLine="5732"/>
      </w:pPr>
    </w:lvl>
    <w:lvl w:ilvl="6">
      <w:start w:val="1"/>
      <w:numFmt w:val="decimal"/>
      <w:lvlText w:val="%7."/>
      <w:lvlJc w:val="left"/>
      <w:pPr>
        <w:ind w:left="6632" w:firstLine="6272"/>
      </w:pPr>
    </w:lvl>
    <w:lvl w:ilvl="7">
      <w:start w:val="1"/>
      <w:numFmt w:val="lowerLetter"/>
      <w:lvlText w:val="%8."/>
      <w:lvlJc w:val="left"/>
      <w:pPr>
        <w:ind w:left="7352" w:firstLine="6992"/>
      </w:pPr>
    </w:lvl>
    <w:lvl w:ilvl="8">
      <w:start w:val="1"/>
      <w:numFmt w:val="lowerRoman"/>
      <w:lvlText w:val="%9."/>
      <w:lvlJc w:val="right"/>
      <w:pPr>
        <w:ind w:left="8072" w:firstLine="7892"/>
      </w:pPr>
    </w:lvl>
  </w:abstractNum>
  <w:abstractNum w:abstractNumId="23" w15:restartNumberingAfterBreak="0">
    <w:nsid w:val="686E062D"/>
    <w:multiLevelType w:val="hybridMultilevel"/>
    <w:tmpl w:val="4E068E0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AF7557E"/>
    <w:multiLevelType w:val="hybridMultilevel"/>
    <w:tmpl w:val="F654A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00241D3"/>
    <w:multiLevelType w:val="hybridMultilevel"/>
    <w:tmpl w:val="046AA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1800AB0"/>
    <w:multiLevelType w:val="hybridMultilevel"/>
    <w:tmpl w:val="8612F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955059B"/>
    <w:multiLevelType w:val="multilevel"/>
    <w:tmpl w:val="87B0F328"/>
    <w:lvl w:ilvl="0">
      <w:start w:val="3"/>
      <w:numFmt w:val="decimal"/>
      <w:lvlText w:val="%1."/>
      <w:lvlJc w:val="left"/>
      <w:pPr>
        <w:ind w:left="1184" w:firstLine="833"/>
      </w:pPr>
      <w:rPr>
        <w:rFonts w:ascii="Times New Roman" w:eastAsia="Times New Roman" w:hAnsi="Times New Roman" w:cs="Times New Roman"/>
        <w:sz w:val="23"/>
        <w:szCs w:val="23"/>
      </w:rPr>
    </w:lvl>
    <w:lvl w:ilvl="1">
      <w:start w:val="21"/>
      <w:numFmt w:val="lowerLetter"/>
      <w:lvlText w:val="%2."/>
      <w:lvlJc w:val="left"/>
      <w:pPr>
        <w:ind w:left="2308" w:firstLine="1952"/>
      </w:pPr>
      <w:rPr>
        <w:rFonts w:ascii="Times New Roman" w:eastAsia="Times New Roman" w:hAnsi="Times New Roman" w:cs="Times New Roman"/>
        <w:sz w:val="25"/>
        <w:szCs w:val="25"/>
      </w:rPr>
    </w:lvl>
    <w:lvl w:ilvl="2">
      <w:start w:val="1"/>
      <w:numFmt w:val="decimal"/>
      <w:lvlText w:val="%3."/>
      <w:lvlJc w:val="left"/>
      <w:pPr>
        <w:ind w:left="3047" w:firstLine="2700"/>
      </w:pPr>
      <w:rPr>
        <w:rFonts w:ascii="Calibri" w:eastAsia="Calibri" w:hAnsi="Calibri" w:cs="Calibri"/>
        <w:sz w:val="22"/>
        <w:szCs w:val="22"/>
      </w:rPr>
    </w:lvl>
    <w:lvl w:ilvl="3">
      <w:start w:val="1"/>
      <w:numFmt w:val="bullet"/>
      <w:lvlText w:val="•"/>
      <w:lvlJc w:val="left"/>
      <w:pPr>
        <w:ind w:left="3875" w:firstLine="3529"/>
      </w:pPr>
      <w:rPr>
        <w:rFonts w:ascii="Arial" w:eastAsia="Arial" w:hAnsi="Arial" w:cs="Arial"/>
      </w:rPr>
    </w:lvl>
    <w:lvl w:ilvl="4">
      <w:start w:val="1"/>
      <w:numFmt w:val="bullet"/>
      <w:lvlText w:val="•"/>
      <w:lvlJc w:val="left"/>
      <w:pPr>
        <w:ind w:left="4703" w:firstLine="4357"/>
      </w:pPr>
      <w:rPr>
        <w:rFonts w:ascii="Arial" w:eastAsia="Arial" w:hAnsi="Arial" w:cs="Arial"/>
      </w:rPr>
    </w:lvl>
    <w:lvl w:ilvl="5">
      <w:start w:val="1"/>
      <w:numFmt w:val="bullet"/>
      <w:lvlText w:val="•"/>
      <w:lvlJc w:val="left"/>
      <w:pPr>
        <w:ind w:left="5531" w:firstLine="5185"/>
      </w:pPr>
      <w:rPr>
        <w:rFonts w:ascii="Arial" w:eastAsia="Arial" w:hAnsi="Arial" w:cs="Arial"/>
      </w:rPr>
    </w:lvl>
    <w:lvl w:ilvl="6">
      <w:start w:val="1"/>
      <w:numFmt w:val="bullet"/>
      <w:lvlText w:val="•"/>
      <w:lvlJc w:val="left"/>
      <w:pPr>
        <w:ind w:left="6360" w:firstLine="6014"/>
      </w:pPr>
      <w:rPr>
        <w:rFonts w:ascii="Arial" w:eastAsia="Arial" w:hAnsi="Arial" w:cs="Arial"/>
      </w:rPr>
    </w:lvl>
    <w:lvl w:ilvl="7">
      <w:start w:val="1"/>
      <w:numFmt w:val="bullet"/>
      <w:lvlText w:val="•"/>
      <w:lvlJc w:val="left"/>
      <w:pPr>
        <w:ind w:left="7188" w:firstLine="6841"/>
      </w:pPr>
      <w:rPr>
        <w:rFonts w:ascii="Arial" w:eastAsia="Arial" w:hAnsi="Arial" w:cs="Arial"/>
      </w:rPr>
    </w:lvl>
    <w:lvl w:ilvl="8">
      <w:start w:val="1"/>
      <w:numFmt w:val="bullet"/>
      <w:lvlText w:val="•"/>
      <w:lvlJc w:val="left"/>
      <w:pPr>
        <w:ind w:left="8016" w:firstLine="7670"/>
      </w:pPr>
      <w:rPr>
        <w:rFonts w:ascii="Arial" w:eastAsia="Arial" w:hAnsi="Arial" w:cs="Arial"/>
      </w:rPr>
    </w:lvl>
  </w:abstractNum>
  <w:abstractNum w:abstractNumId="28" w15:restartNumberingAfterBreak="0">
    <w:nsid w:val="7D02765A"/>
    <w:multiLevelType w:val="multilevel"/>
    <w:tmpl w:val="BF246B68"/>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9" w15:restartNumberingAfterBreak="0">
    <w:nsid w:val="7E8A4578"/>
    <w:multiLevelType w:val="multilevel"/>
    <w:tmpl w:val="EF38DDD8"/>
    <w:lvl w:ilvl="0">
      <w:start w:val="1"/>
      <w:numFmt w:val="decimal"/>
      <w:lvlText w:val="%1."/>
      <w:lvlJc w:val="left"/>
      <w:pPr>
        <w:ind w:left="1560" w:hanging="360"/>
      </w:pPr>
      <w:rPr>
        <w:rFonts w:hint="default"/>
      </w:rPr>
    </w:lvl>
    <w:lvl w:ilvl="1">
      <w:start w:val="1"/>
      <w:numFmt w:val="lowerLetter"/>
      <w:lvlText w:val="%2."/>
      <w:lvlJc w:val="left"/>
      <w:pPr>
        <w:ind w:left="2280" w:hanging="360"/>
      </w:pPr>
    </w:lvl>
    <w:lvl w:ilvl="2">
      <w:start w:val="1"/>
      <w:numFmt w:val="lowerRoman"/>
      <w:lvlText w:val="%3."/>
      <w:lvlJc w:val="right"/>
      <w:pPr>
        <w:ind w:left="3000" w:hanging="180"/>
      </w:pPr>
    </w:lvl>
    <w:lvl w:ilvl="3" w:tentative="1">
      <w:start w:val="1"/>
      <w:numFmt w:val="decimal"/>
      <w:lvlText w:val="%4."/>
      <w:lvlJc w:val="left"/>
      <w:pPr>
        <w:ind w:left="3720" w:hanging="360"/>
      </w:pPr>
    </w:lvl>
    <w:lvl w:ilvl="4" w:tentative="1">
      <w:start w:val="1"/>
      <w:numFmt w:val="lowerLetter"/>
      <w:lvlText w:val="%5."/>
      <w:lvlJc w:val="left"/>
      <w:pPr>
        <w:ind w:left="4440" w:hanging="360"/>
      </w:pPr>
    </w:lvl>
    <w:lvl w:ilvl="5" w:tentative="1">
      <w:start w:val="1"/>
      <w:numFmt w:val="lowerRoman"/>
      <w:lvlText w:val="%6."/>
      <w:lvlJc w:val="right"/>
      <w:pPr>
        <w:ind w:left="5160" w:hanging="180"/>
      </w:pPr>
    </w:lvl>
    <w:lvl w:ilvl="6" w:tentative="1">
      <w:start w:val="1"/>
      <w:numFmt w:val="decimal"/>
      <w:lvlText w:val="%7."/>
      <w:lvlJc w:val="left"/>
      <w:pPr>
        <w:ind w:left="5880" w:hanging="360"/>
      </w:pPr>
    </w:lvl>
    <w:lvl w:ilvl="7" w:tentative="1">
      <w:start w:val="1"/>
      <w:numFmt w:val="lowerLetter"/>
      <w:lvlText w:val="%8."/>
      <w:lvlJc w:val="left"/>
      <w:pPr>
        <w:ind w:left="6600" w:hanging="360"/>
      </w:pPr>
    </w:lvl>
    <w:lvl w:ilvl="8" w:tentative="1">
      <w:start w:val="1"/>
      <w:numFmt w:val="lowerRoman"/>
      <w:lvlText w:val="%9."/>
      <w:lvlJc w:val="right"/>
      <w:pPr>
        <w:ind w:left="7320" w:hanging="180"/>
      </w:pPr>
    </w:lvl>
  </w:abstractNum>
  <w:num w:numId="1">
    <w:abstractNumId w:val="9"/>
  </w:num>
  <w:num w:numId="2">
    <w:abstractNumId w:val="20"/>
  </w:num>
  <w:num w:numId="3">
    <w:abstractNumId w:val="21"/>
  </w:num>
  <w:num w:numId="4">
    <w:abstractNumId w:val="7"/>
  </w:num>
  <w:num w:numId="5">
    <w:abstractNumId w:val="26"/>
  </w:num>
  <w:num w:numId="6">
    <w:abstractNumId w:val="25"/>
  </w:num>
  <w:num w:numId="7">
    <w:abstractNumId w:val="17"/>
  </w:num>
  <w:num w:numId="8">
    <w:abstractNumId w:val="24"/>
  </w:num>
  <w:num w:numId="9">
    <w:abstractNumId w:val="10"/>
  </w:num>
  <w:num w:numId="10">
    <w:abstractNumId w:val="12"/>
  </w:num>
  <w:num w:numId="11">
    <w:abstractNumId w:val="4"/>
  </w:num>
  <w:num w:numId="12">
    <w:abstractNumId w:val="19"/>
  </w:num>
  <w:num w:numId="13">
    <w:abstractNumId w:val="11"/>
  </w:num>
  <w:num w:numId="14">
    <w:abstractNumId w:val="18"/>
  </w:num>
  <w:num w:numId="15">
    <w:abstractNumId w:val="23"/>
  </w:num>
  <w:num w:numId="16">
    <w:abstractNumId w:val="8"/>
  </w:num>
  <w:num w:numId="17">
    <w:abstractNumId w:val="22"/>
  </w:num>
  <w:num w:numId="18">
    <w:abstractNumId w:val="27"/>
  </w:num>
  <w:num w:numId="19">
    <w:abstractNumId w:val="3"/>
  </w:num>
  <w:num w:numId="20">
    <w:abstractNumId w:val="28"/>
  </w:num>
  <w:num w:numId="21">
    <w:abstractNumId w:val="5"/>
  </w:num>
  <w:num w:numId="22">
    <w:abstractNumId w:val="2"/>
  </w:num>
  <w:num w:numId="23">
    <w:abstractNumId w:val="6"/>
  </w:num>
  <w:num w:numId="24">
    <w:abstractNumId w:val="15"/>
  </w:num>
  <w:num w:numId="25">
    <w:abstractNumId w:val="1"/>
  </w:num>
  <w:num w:numId="26">
    <w:abstractNumId w:val="16"/>
  </w:num>
  <w:num w:numId="27">
    <w:abstractNumId w:val="0"/>
  </w:num>
  <w:num w:numId="28">
    <w:abstractNumId w:val="14"/>
  </w:num>
  <w:num w:numId="29">
    <w:abstractNumId w:val="29"/>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AD2"/>
    <w:rsid w:val="00002B34"/>
    <w:rsid w:val="00026D5C"/>
    <w:rsid w:val="000A484E"/>
    <w:rsid w:val="000A63A5"/>
    <w:rsid w:val="000E08CE"/>
    <w:rsid w:val="000E57C3"/>
    <w:rsid w:val="00143383"/>
    <w:rsid w:val="001A3591"/>
    <w:rsid w:val="001E4DC1"/>
    <w:rsid w:val="00216902"/>
    <w:rsid w:val="00262AEE"/>
    <w:rsid w:val="00293BFB"/>
    <w:rsid w:val="002A5224"/>
    <w:rsid w:val="002B4D91"/>
    <w:rsid w:val="002C769B"/>
    <w:rsid w:val="002D4967"/>
    <w:rsid w:val="002E6027"/>
    <w:rsid w:val="00313B2D"/>
    <w:rsid w:val="00313C59"/>
    <w:rsid w:val="00317A23"/>
    <w:rsid w:val="00354638"/>
    <w:rsid w:val="003667C4"/>
    <w:rsid w:val="0039670A"/>
    <w:rsid w:val="00397B93"/>
    <w:rsid w:val="003B6974"/>
    <w:rsid w:val="003E2021"/>
    <w:rsid w:val="004412F3"/>
    <w:rsid w:val="00497C51"/>
    <w:rsid w:val="00504440"/>
    <w:rsid w:val="00523753"/>
    <w:rsid w:val="00560167"/>
    <w:rsid w:val="00564EFD"/>
    <w:rsid w:val="00565C8F"/>
    <w:rsid w:val="00591E82"/>
    <w:rsid w:val="00593885"/>
    <w:rsid w:val="0060501B"/>
    <w:rsid w:val="006339EA"/>
    <w:rsid w:val="00654F37"/>
    <w:rsid w:val="006B18E4"/>
    <w:rsid w:val="006B462B"/>
    <w:rsid w:val="006D5B5C"/>
    <w:rsid w:val="006F31BB"/>
    <w:rsid w:val="006F531E"/>
    <w:rsid w:val="006F7CC1"/>
    <w:rsid w:val="00712B06"/>
    <w:rsid w:val="00722E7B"/>
    <w:rsid w:val="0073588F"/>
    <w:rsid w:val="00740A5D"/>
    <w:rsid w:val="00747986"/>
    <w:rsid w:val="00747A88"/>
    <w:rsid w:val="00754E11"/>
    <w:rsid w:val="00781601"/>
    <w:rsid w:val="00791E98"/>
    <w:rsid w:val="007C440B"/>
    <w:rsid w:val="007C7CFF"/>
    <w:rsid w:val="00800696"/>
    <w:rsid w:val="008521B8"/>
    <w:rsid w:val="00853742"/>
    <w:rsid w:val="00882BA2"/>
    <w:rsid w:val="008B3496"/>
    <w:rsid w:val="008D0D12"/>
    <w:rsid w:val="008D7FB4"/>
    <w:rsid w:val="009151AE"/>
    <w:rsid w:val="0093526B"/>
    <w:rsid w:val="009608F3"/>
    <w:rsid w:val="00976B49"/>
    <w:rsid w:val="00987F86"/>
    <w:rsid w:val="009A1D52"/>
    <w:rsid w:val="009C206D"/>
    <w:rsid w:val="009D5629"/>
    <w:rsid w:val="009E7330"/>
    <w:rsid w:val="00A0332B"/>
    <w:rsid w:val="00A50B55"/>
    <w:rsid w:val="00A7733D"/>
    <w:rsid w:val="00AE13D1"/>
    <w:rsid w:val="00AE5C34"/>
    <w:rsid w:val="00AE5C64"/>
    <w:rsid w:val="00B017FC"/>
    <w:rsid w:val="00B17EE0"/>
    <w:rsid w:val="00B24B97"/>
    <w:rsid w:val="00B56D51"/>
    <w:rsid w:val="00B61535"/>
    <w:rsid w:val="00B76512"/>
    <w:rsid w:val="00B81B10"/>
    <w:rsid w:val="00B84933"/>
    <w:rsid w:val="00B84E58"/>
    <w:rsid w:val="00BB3A29"/>
    <w:rsid w:val="00BC2488"/>
    <w:rsid w:val="00BE1E6B"/>
    <w:rsid w:val="00BE6D6F"/>
    <w:rsid w:val="00BE72E5"/>
    <w:rsid w:val="00C11F8B"/>
    <w:rsid w:val="00C178D7"/>
    <w:rsid w:val="00C216D2"/>
    <w:rsid w:val="00CA1CAD"/>
    <w:rsid w:val="00CA7FB3"/>
    <w:rsid w:val="00CB375A"/>
    <w:rsid w:val="00CF6C50"/>
    <w:rsid w:val="00D3444C"/>
    <w:rsid w:val="00D36A7D"/>
    <w:rsid w:val="00D42661"/>
    <w:rsid w:val="00D63944"/>
    <w:rsid w:val="00D73EFB"/>
    <w:rsid w:val="00DA5DE9"/>
    <w:rsid w:val="00DA6EA4"/>
    <w:rsid w:val="00DB1DE3"/>
    <w:rsid w:val="00DB216A"/>
    <w:rsid w:val="00DB5CD1"/>
    <w:rsid w:val="00DC51CB"/>
    <w:rsid w:val="00DE5D48"/>
    <w:rsid w:val="00E00C68"/>
    <w:rsid w:val="00E205BD"/>
    <w:rsid w:val="00E20A9C"/>
    <w:rsid w:val="00E27AD2"/>
    <w:rsid w:val="00E32F62"/>
    <w:rsid w:val="00E4628A"/>
    <w:rsid w:val="00E562DC"/>
    <w:rsid w:val="00ED074C"/>
    <w:rsid w:val="00ED3E7A"/>
    <w:rsid w:val="00F03E5C"/>
    <w:rsid w:val="00F21F69"/>
    <w:rsid w:val="00F24ED8"/>
    <w:rsid w:val="00F26650"/>
    <w:rsid w:val="00F51031"/>
    <w:rsid w:val="00F60B93"/>
    <w:rsid w:val="00F60D29"/>
    <w:rsid w:val="00F624E9"/>
    <w:rsid w:val="00F64BAE"/>
    <w:rsid w:val="00F65ECD"/>
    <w:rsid w:val="00F85135"/>
    <w:rsid w:val="00FA59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5D5713C"/>
  <w15:docId w15:val="{0019A436-B6F0-4717-850D-BB9CA54F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AD2"/>
  </w:style>
  <w:style w:type="paragraph" w:styleId="Footer">
    <w:name w:val="footer"/>
    <w:basedOn w:val="Normal"/>
    <w:link w:val="FooterChar"/>
    <w:uiPriority w:val="99"/>
    <w:unhideWhenUsed/>
    <w:rsid w:val="00E27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AD2"/>
  </w:style>
  <w:style w:type="paragraph" w:styleId="ListParagraph">
    <w:name w:val="List Paragraph"/>
    <w:basedOn w:val="Normal"/>
    <w:uiPriority w:val="34"/>
    <w:qFormat/>
    <w:rsid w:val="00E27AD2"/>
    <w:pPr>
      <w:ind w:left="720"/>
      <w:contextualSpacing/>
    </w:pPr>
  </w:style>
  <w:style w:type="character" w:styleId="CommentReference">
    <w:name w:val="annotation reference"/>
    <w:basedOn w:val="DefaultParagraphFont"/>
    <w:uiPriority w:val="99"/>
    <w:semiHidden/>
    <w:unhideWhenUsed/>
    <w:rsid w:val="00216902"/>
    <w:rPr>
      <w:sz w:val="16"/>
      <w:szCs w:val="16"/>
    </w:rPr>
  </w:style>
  <w:style w:type="paragraph" w:styleId="CommentText">
    <w:name w:val="annotation text"/>
    <w:basedOn w:val="Normal"/>
    <w:link w:val="CommentTextChar"/>
    <w:uiPriority w:val="99"/>
    <w:semiHidden/>
    <w:unhideWhenUsed/>
    <w:rsid w:val="00216902"/>
    <w:pPr>
      <w:spacing w:line="240" w:lineRule="auto"/>
    </w:pPr>
    <w:rPr>
      <w:sz w:val="20"/>
      <w:szCs w:val="20"/>
    </w:rPr>
  </w:style>
  <w:style w:type="character" w:customStyle="1" w:styleId="CommentTextChar">
    <w:name w:val="Comment Text Char"/>
    <w:basedOn w:val="DefaultParagraphFont"/>
    <w:link w:val="CommentText"/>
    <w:uiPriority w:val="99"/>
    <w:semiHidden/>
    <w:rsid w:val="00216902"/>
    <w:rPr>
      <w:sz w:val="20"/>
      <w:szCs w:val="20"/>
    </w:rPr>
  </w:style>
  <w:style w:type="paragraph" w:styleId="CommentSubject">
    <w:name w:val="annotation subject"/>
    <w:basedOn w:val="CommentText"/>
    <w:next w:val="CommentText"/>
    <w:link w:val="CommentSubjectChar"/>
    <w:uiPriority w:val="99"/>
    <w:semiHidden/>
    <w:unhideWhenUsed/>
    <w:rsid w:val="00216902"/>
    <w:rPr>
      <w:b/>
      <w:bCs/>
    </w:rPr>
  </w:style>
  <w:style w:type="character" w:customStyle="1" w:styleId="CommentSubjectChar">
    <w:name w:val="Comment Subject Char"/>
    <w:basedOn w:val="CommentTextChar"/>
    <w:link w:val="CommentSubject"/>
    <w:uiPriority w:val="99"/>
    <w:semiHidden/>
    <w:rsid w:val="00216902"/>
    <w:rPr>
      <w:b/>
      <w:bCs/>
      <w:sz w:val="20"/>
      <w:szCs w:val="20"/>
    </w:rPr>
  </w:style>
  <w:style w:type="paragraph" w:styleId="BalloonText">
    <w:name w:val="Balloon Text"/>
    <w:basedOn w:val="Normal"/>
    <w:link w:val="BalloonTextChar"/>
    <w:uiPriority w:val="99"/>
    <w:semiHidden/>
    <w:unhideWhenUsed/>
    <w:rsid w:val="002169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6902"/>
    <w:rPr>
      <w:rFonts w:ascii="Segoe UI" w:hAnsi="Segoe UI" w:cs="Segoe UI"/>
      <w:sz w:val="18"/>
      <w:szCs w:val="18"/>
    </w:rPr>
  </w:style>
  <w:style w:type="paragraph" w:styleId="Revision">
    <w:name w:val="Revision"/>
    <w:hidden/>
    <w:uiPriority w:val="99"/>
    <w:semiHidden/>
    <w:rsid w:val="00B849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AB97E-4375-4008-81D7-F555FF4E2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3033</Words>
  <Characters>17293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20286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Terri McReynolds</dc:creator>
  <cp:keywords/>
  <dc:description/>
  <cp:lastModifiedBy>Mafil Fabroquez</cp:lastModifiedBy>
  <cp:revision>6</cp:revision>
  <cp:lastPrinted>2017-05-03T18:56:00Z</cp:lastPrinted>
  <dcterms:created xsi:type="dcterms:W3CDTF">2017-05-16T17:49:00Z</dcterms:created>
  <dcterms:modified xsi:type="dcterms:W3CDTF">2017-05-16T17:57:00Z</dcterms:modified>
</cp:coreProperties>
</file>