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执行plan"/>
    <w:p>
      <w:pPr>
        <w:pStyle w:val="Heading2"/>
      </w:pPr>
      <w:r>
        <w:rPr>
          <w:rFonts w:hint="eastAsia"/>
        </w:rPr>
        <w:t xml:space="preserve">执行Plan</w:t>
      </w:r>
    </w:p>
    <w:bookmarkStart w:id="20" w:name="step-1-明确报告目标与高管阅读口径"/>
    <w:p>
      <w:pPr>
        <w:pStyle w:val="Heading3"/>
      </w:pPr>
      <w:r>
        <w:t xml:space="preserve">Step 1: </w:t>
      </w:r>
      <w:r>
        <w:rPr>
          <w:rFonts w:hint="eastAsia"/>
        </w:rPr>
        <w:t xml:space="preserve">明确报告目标与高管阅读口径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将报告定位为“给CEO/CFO看的决策型行业分析”，不是技术科普，也不是泛泛趋势综述。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明确核心问题：制造业AI当前到了什么阶段、哪些场景最值得投、ROI如何判断、未来2—3年怎么布局。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统一篇幅与结构边界，确保全文控制在8000字左右。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任务说明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过往行业报告常见结构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高管读者偏好框架：市场规模、渗透率、降本增效、资本开支、回报周期、风险敞口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1页写作Brief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报告核心问题清单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目标读者画像与表达原则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拟定总标题、副标题、摘要方向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</w:t>
      </w:r>
    </w:p>
    <w:bookmarkEnd w:id="20"/>
    <w:bookmarkStart w:id="21" w:name="step-2-搭建报告总框架与论证主线"/>
    <w:p>
      <w:pPr>
        <w:pStyle w:val="Heading3"/>
      </w:pPr>
      <w:r>
        <w:t xml:space="preserve">Step 2: </w:t>
      </w:r>
      <w:r>
        <w:rPr>
          <w:rFonts w:hint="eastAsia"/>
        </w:rPr>
        <w:t xml:space="preserve">搭建报告总框架与论证主线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搭建适合高管快速阅读的目录结构，形成“现状—场景—价值—挑战—趋势—建议”的主线。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将8000字拆分到各章节，避免后期内容失衡。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行业研究报告写作模板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咨询公司报告结构样例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制造业数字化/智能制造政策文本目录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一级、二级目录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每章核心论点、关键数据位、案例位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各章节字数预算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10"/>
        </w:numPr>
      </w:pPr>
      <w:r>
        <w:t xml:space="preserve">Step </w:t>
      </w:r>
      <w:r>
        <w:rPr>
          <w:rFonts w:hint="eastAsia"/>
        </w:rPr>
        <w:t xml:space="preserve">1完成的写作Brief</w:t>
      </w:r>
    </w:p>
    <w:bookmarkEnd w:id="21"/>
    <w:bookmarkStart w:id="22" w:name="step-3-制定数据口径与证据标准"/>
    <w:p>
      <w:pPr>
        <w:pStyle w:val="Heading3"/>
      </w:pPr>
      <w:r>
        <w:t xml:space="preserve">Step 3: </w:t>
      </w:r>
      <w:r>
        <w:rPr>
          <w:rFonts w:hint="eastAsia"/>
        </w:rPr>
        <w:t xml:space="preserve">制定数据口径与证据标准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提前定义哪些数据可以进入正文，避免后续资料杂乱、口径不统一。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建立“权威优先、近两年优先、可交叉验证优先”的证据标准。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国家统计局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工信部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发改委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中国信通院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中国电子学会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世界经济论坛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麦肯锡、德勤、IDC、Gartner、BCG等公开报告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上市公司年报/投资者交流纪要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数据源优先级清单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数据引用规则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关键指标表：市场规模、渗透率、投资强度、效率提升、良率改善、库存周转、人工替代、回收周期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15"/>
        </w:numPr>
      </w:pPr>
      <w:r>
        <w:t xml:space="preserve">Step </w:t>
      </w:r>
      <w:r>
        <w:rPr>
          <w:rFonts w:hint="eastAsia"/>
        </w:rPr>
        <w:t xml:space="preserve">2完成的目录框架</w:t>
      </w:r>
    </w:p>
    <w:bookmarkEnd w:id="22"/>
    <w:bookmarkStart w:id="23" w:name="step-4-完成宏观与行业层数据搜集"/>
    <w:p>
      <w:pPr>
        <w:pStyle w:val="Heading3"/>
      </w:pPr>
      <w:r>
        <w:t xml:space="preserve">Step 4: </w:t>
      </w:r>
      <w:r>
        <w:rPr>
          <w:rFonts w:hint="eastAsia"/>
        </w:rPr>
        <w:t xml:space="preserve">完成宏观与行业层数据搜集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收集中国制造业总体运行数据，以及AI、工业软件、自动化、工业互联网、机器人、智能工厂等相关数据。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建立“制造业AI应用现状”的宏观事实基础。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国家统计局制造业增加值、利润、投资、就业数据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工信部智能制造试点示范、两化融合、工业互联网相关数据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信通院人工智能、工业互联网白皮书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公开券商研报与咨询机构数据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宏观数据表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5—8条可直接写入正文的关键结论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适合高管阅读的“行业现状判断”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20"/>
        </w:numPr>
      </w:pPr>
      <w:r>
        <w:t xml:space="preserve">Step </w:t>
      </w:r>
      <w:r>
        <w:rPr>
          <w:rFonts w:hint="eastAsia"/>
        </w:rPr>
        <w:t xml:space="preserve">3的数据口径与证据标准</w:t>
      </w:r>
    </w:p>
    <w:bookmarkEnd w:id="23"/>
    <w:bookmarkStart w:id="24" w:name="step-5-梳理制造业ai应用场景与价值链地图"/>
    <w:p>
      <w:pPr>
        <w:pStyle w:val="Heading3"/>
      </w:pPr>
      <w:r>
        <w:t xml:space="preserve">Step 5: </w:t>
      </w:r>
      <w:r>
        <w:rPr>
          <w:rFonts w:hint="eastAsia"/>
        </w:rPr>
        <w:t xml:space="preserve">梳理制造业AI应用场景与价值链地图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将AI应用按制造业价值链拆解，突出哪些场景已经落地、哪些仍在试点、哪些具备未来增量。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重点覆盖研发、采购、生产、质检、设备运维、仓储物流、供应链计划、销售预测、能源管理、管理决策等环节。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智能制造案例集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龙头企业公开案例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行业白皮书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学术与产业会议资料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“场景—价值—成熟度”矩阵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高优先级场景清单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可写成正文小节的场景归纳材料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25"/>
        </w:numPr>
      </w:pPr>
      <w:r>
        <w:t xml:space="preserve">Step </w:t>
      </w:r>
      <w:r>
        <w:rPr>
          <w:rFonts w:hint="eastAsia"/>
        </w:rPr>
        <w:t xml:space="preserve">4完成的行业现状数据</w:t>
      </w:r>
    </w:p>
    <w:bookmarkEnd w:id="24"/>
    <w:bookmarkStart w:id="25" w:name="step-6-提炼头部企业案例与财务价值证据"/>
    <w:p>
      <w:pPr>
        <w:pStyle w:val="Heading3"/>
      </w:pPr>
      <w:r>
        <w:t xml:space="preserve">Step 6: </w:t>
      </w:r>
      <w:r>
        <w:rPr>
          <w:rFonts w:hint="eastAsia"/>
        </w:rPr>
        <w:t xml:space="preserve">提炼头部企业案例与财务价值证据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选择6—8个代表性案例，覆盖离散制造与流程制造，体现CEO/CFO最关心的财务与经营指标。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尽量用公开、可验证的数据说明AI在降本、提效、增收、控风险方面的作用。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上市公司年报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企业官网案例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投资者关系纪要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媒体专访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行业奖项/示范工厂材料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案例库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案例摘要卡片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财务价值证据表，如良率提升、停机时间下降、库存优化、人工节省、交付周期缩短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30"/>
        </w:numPr>
      </w:pPr>
      <w:r>
        <w:t xml:space="preserve">Step </w:t>
      </w:r>
      <w:r>
        <w:rPr>
          <w:rFonts w:hint="eastAsia"/>
        </w:rPr>
        <w:t xml:space="preserve">5完成的场景地图</w:t>
      </w:r>
    </w:p>
    <w:bookmarkEnd w:id="25"/>
    <w:bookmarkStart w:id="26" w:name="step-7-形成趋势判断与高管决策观点"/>
    <w:p>
      <w:pPr>
        <w:pStyle w:val="Heading3"/>
      </w:pPr>
      <w:r>
        <w:t xml:space="preserve">Step 7: </w:t>
      </w:r>
      <w:r>
        <w:rPr>
          <w:rFonts w:hint="eastAsia"/>
        </w:rPr>
        <w:t xml:space="preserve">形成趋势判断与高管决策观点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在现状基础上输出未来2—3年的趋势判断，而不是泛泛描述“AI前景广阔”。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从技术、产业、资本、组织、监管五个维度提炼趋势。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最新政策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行业投资与融资动向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大模型在工业领域的应用进展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海外制造业AI实践对比资料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5—7条趋势判断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每条趋势对应的驱动因素、约束因素、对企业经营的影响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“CEO/CFO应关注什么”的观点清单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35"/>
        </w:numPr>
      </w:pPr>
      <w:r>
        <w:t xml:space="preserve">Step </w:t>
      </w:r>
      <w:r>
        <w:rPr>
          <w:rFonts w:hint="eastAsia"/>
        </w:rPr>
        <w:t xml:space="preserve">4至Step</w:t>
      </w:r>
      <w:r>
        <w:t xml:space="preserve"> </w:t>
      </w:r>
      <w:r>
        <w:rPr>
          <w:rFonts w:hint="eastAsia"/>
        </w:rPr>
        <w:t xml:space="preserve">6的事实与案例基础</w:t>
      </w:r>
    </w:p>
    <w:bookmarkEnd w:id="26"/>
    <w:bookmarkStart w:id="27" w:name="step-8-输出初稿提纲扩展版与图表清单"/>
    <w:p>
      <w:pPr>
        <w:pStyle w:val="Heading3"/>
      </w:pPr>
      <w:r>
        <w:t xml:space="preserve">Step 8: </w:t>
      </w:r>
      <w:r>
        <w:rPr>
          <w:rFonts w:hint="eastAsia"/>
        </w:rPr>
        <w:t xml:space="preserve">输出初稿提纲扩展版与图表清单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在正式写作前，先把每一章扩成“要点式半成稿”，减少后续成文时的逻辑断层。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同步规划图表，保证数据支撑可视化。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前述全部资料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常用商业报告图表模板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扩展版提纲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图表清单，建议控制在8—12张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每张图表的数据来源与表达目的说明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40"/>
        </w:numPr>
      </w:pPr>
      <w:r>
        <w:t xml:space="preserve">Step </w:t>
      </w:r>
      <w:r>
        <w:rPr>
          <w:rFonts w:hint="eastAsia"/>
        </w:rPr>
        <w:t xml:space="preserve">7完成趋势判断</w:t>
      </w:r>
    </w:p>
    <w:bookmarkEnd w:id="27"/>
    <w:bookmarkStart w:id="28" w:name="step-9-撰写8000字初稿"/>
    <w:p>
      <w:pPr>
        <w:pStyle w:val="Heading3"/>
      </w:pPr>
      <w:r>
        <w:t xml:space="preserve">Step 9: </w:t>
      </w:r>
      <w:r>
        <w:rPr>
          <w:rFonts w:hint="eastAsia"/>
        </w:rPr>
        <w:t xml:space="preserve">撰写8000字初稿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根据扩展版提纲一次性完成初稿，保证逻辑完整、语言克制、适合高管快速阅读。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强化结论前置、数据支撑、案例佐证与建议可执行性。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扩展版提纲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数据表与案例库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图表清单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约8000字初稿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执行摘要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章节标题与小结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45"/>
        </w:numPr>
      </w:pPr>
      <w:r>
        <w:t xml:space="preserve">Step </w:t>
      </w:r>
      <w:r>
        <w:rPr>
          <w:rFonts w:hint="eastAsia"/>
        </w:rPr>
        <w:t xml:space="preserve">8完成</w:t>
      </w:r>
    </w:p>
    <w:bookmarkEnd w:id="28"/>
    <w:bookmarkStart w:id="29" w:name="step-10-校核数据统一口径并进行高管化润色"/>
    <w:p>
      <w:pPr>
        <w:pStyle w:val="Heading3"/>
      </w:pPr>
      <w:r>
        <w:t xml:space="preserve">Step 10: </w:t>
      </w:r>
      <w:r>
        <w:rPr>
          <w:rFonts w:hint="eastAsia"/>
        </w:rPr>
        <w:t xml:space="preserve">校核数据、统一口径并进行高管化润色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目标：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检查所有数据出处、时间口径、单位口径、同比环比表达是否一致。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将偏技术化表述改写为经营语言、投资语言和风险语言。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需要调用的工具/数据源：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原始数据表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引用来源清单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高管阅读风格校对标准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预计产出：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可提交初稿版本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引用与数据核验表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待补充问题清单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前置依赖：</w:t>
      </w:r>
    </w:p>
    <w:p>
      <w:pPr>
        <w:pStyle w:val="Compact"/>
        <w:numPr>
          <w:ilvl w:val="1"/>
          <w:numId w:val="1050"/>
        </w:numPr>
      </w:pPr>
      <w:r>
        <w:t xml:space="preserve">Step </w:t>
      </w:r>
      <w:r>
        <w:rPr>
          <w:rFonts w:hint="eastAsia"/>
        </w:rPr>
        <w:t xml:space="preserve">9完成初稿</w:t>
      </w:r>
    </w:p>
    <w:bookmarkEnd w:id="29"/>
    <w:bookmarkEnd w:id="30"/>
    <w:bookmarkStart w:id="31" w:name="关键决策点"/>
    <w:p>
      <w:pPr>
        <w:pStyle w:val="Heading2"/>
      </w:pPr>
      <w:r>
        <w:rPr>
          <w:rFonts w:hint="eastAsia"/>
        </w:rPr>
        <w:t xml:space="preserve">关键决策点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报告主线是偏“行业扫描”还是偏“投资决策建议”。建议以后者为主，因为CEO/CFO更关注资源配置与回报判断。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数据口径采用“近两年公开权威数据+经典案例长期趋势”的组合，而不是追求所有数字都最新但来源不稳。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场景选择是“覆盖全链条”还是“聚焦高价值环节”。建议聚焦生产、质检、设备运维、供应链计划四类高ROI场景。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案例选择是“知名大厂”还是“行业可复制样本”。建议兼顾龙头标杆与可复制案例，避免报告只停留在头部企业叙事。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趋势部分是写技术演进还是经营影响。建议以经营影响为主，技术演进只保留与决策强相关内容。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建议部分是原则性建议还是分阶段动作。建议写成“短期试点—中期扩面—长期体系化”的三阶段建议。</w:t>
      </w:r>
    </w:p>
    <w:bookmarkEnd w:id="31"/>
    <w:bookmarkStart w:id="32" w:name="风险与备选方案"/>
    <w:p>
      <w:pPr>
        <w:pStyle w:val="Heading2"/>
      </w:pPr>
      <w:r>
        <w:rPr>
          <w:rFonts w:hint="eastAsia"/>
        </w:rPr>
        <w:t xml:space="preserve">风险与备选方案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风险1：公开数据分散、口径不一致，导致结论不稳</w:t>
      </w:r>
      <w:r>
        <w:t xml:space="preserve"> → </w:t>
      </w:r>
      <w:r>
        <w:rPr>
          <w:rFonts w:hint="eastAsia"/>
        </w:rPr>
        <w:t xml:space="preserve">备选：优先采用国家部委、信通院、上市公司年报等高可信来源，并对关键数据做双重交叉验证。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风险2：制造业AI案例很多，但可量化ROI的公开材料不足</w:t>
      </w:r>
      <w:r>
        <w:t xml:space="preserve"> → </w:t>
      </w:r>
      <w:r>
        <w:rPr>
          <w:rFonts w:hint="eastAsia"/>
        </w:rPr>
        <w:t xml:space="preserve">备选：用“经营指标改善”替代绝对财务收益，必要时采用区间表达和行业平均估算，并明确标注数据来源和计算假设。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风险3：内容容易写成技术报告，不够适合CEO/CFO</w:t>
      </w:r>
      <w:r>
        <w:t xml:space="preserve"> → </w:t>
      </w:r>
      <w:r>
        <w:rPr>
          <w:rFonts w:hint="eastAsia"/>
        </w:rPr>
        <w:t xml:space="preserve">备选：每章都设置“经营含义”与“管理启示”段落，减少算法细节，增加投入产出、组织能力与风险控制视角。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风险4：8000字篇幅内信息过载，影响可读性</w:t>
      </w:r>
      <w:r>
        <w:t xml:space="preserve"> → </w:t>
      </w:r>
      <w:r>
        <w:rPr>
          <w:rFonts w:hint="eastAsia"/>
        </w:rPr>
        <w:t xml:space="preserve">备选：采用“结论前置+图表承载细节+案例短卡片”写法，把冗长背景压缩到最少。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风险5：3天周期紧，后期可能来不及补足所有案例</w:t>
      </w:r>
      <w:r>
        <w:t xml:space="preserve"> → </w:t>
      </w:r>
      <w:r>
        <w:rPr>
          <w:rFonts w:hint="eastAsia"/>
        </w:rPr>
        <w:t xml:space="preserve">备选：优先完成主线论证与核心数据，案例先保证4个高质量样本，再视时间补充到6—8个。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风险6：趋势判断容易流于空泛</w:t>
      </w:r>
      <w:r>
        <w:t xml:space="preserve"> → </w:t>
      </w:r>
      <w:r>
        <w:rPr>
          <w:rFonts w:hint="eastAsia"/>
        </w:rPr>
        <w:t xml:space="preserve">备选：每个趋势必须对应至少1个数据事实、1个案例证据或1个政策/资本信号。</w:t>
      </w:r>
    </w:p>
    <w:bookmarkEnd w:id="32"/>
    <w:bookmarkStart w:id="33" w:name="天执行节奏建议"/>
    <w:p>
      <w:pPr>
        <w:pStyle w:val="Heading2"/>
      </w:pPr>
      <w:r>
        <w:rPr>
          <w:rFonts w:hint="eastAsia"/>
        </w:rPr>
        <w:t xml:space="preserve">3天执行节奏建议</w:t>
      </w:r>
    </w:p>
    <w:p>
      <w:pPr>
        <w:pStyle w:val="Compact"/>
        <w:numPr>
          <w:ilvl w:val="0"/>
          <w:numId w:val="1053"/>
        </w:numPr>
      </w:pPr>
      <w:r>
        <w:t xml:space="preserve">Day </w:t>
      </w:r>
      <w:r>
        <w:rPr>
          <w:rFonts w:hint="eastAsia"/>
        </w:rPr>
        <w:t xml:space="preserve">1：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1至Step</w:t>
      </w:r>
      <w:r>
        <w:t xml:space="preserve"> 4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锁定报告框架、数据口径和核心行业事实</w:t>
      </w:r>
    </w:p>
    <w:p>
      <w:pPr>
        <w:pStyle w:val="Compact"/>
        <w:numPr>
          <w:ilvl w:val="0"/>
          <w:numId w:val="1053"/>
        </w:numPr>
      </w:pPr>
      <w:r>
        <w:t xml:space="preserve">Day </w:t>
      </w:r>
      <w:r>
        <w:rPr>
          <w:rFonts w:hint="eastAsia"/>
        </w:rPr>
        <w:t xml:space="preserve">2：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5至Step</w:t>
      </w:r>
      <w:r>
        <w:t xml:space="preserve"> 7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形成场景地图、案例库和趋势判断</w:t>
      </w:r>
    </w:p>
    <w:p>
      <w:pPr>
        <w:pStyle w:val="Compact"/>
        <w:numPr>
          <w:ilvl w:val="0"/>
          <w:numId w:val="1053"/>
        </w:numPr>
      </w:pPr>
      <w:r>
        <w:t xml:space="preserve">Day </w:t>
      </w:r>
      <w:r>
        <w:rPr>
          <w:rFonts w:hint="eastAsia"/>
        </w:rPr>
        <w:t xml:space="preserve">3：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完成Step</w:t>
      </w:r>
      <w:r>
        <w:t xml:space="preserve"> </w:t>
      </w:r>
      <w:r>
        <w:rPr>
          <w:rFonts w:hint="eastAsia"/>
        </w:rPr>
        <w:t xml:space="preserve">8至Step</w:t>
      </w:r>
      <w:r>
        <w:t xml:space="preserve"> 10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写出初稿并做数据核验与高管化润色</w:t>
      </w:r>
    </w:p>
    <w:bookmarkEnd w:id="33"/>
    <w:bookmarkStart w:id="34" w:name="你认为最难的一步是什么为什么"/>
    <w:p>
      <w:pPr>
        <w:pStyle w:val="Heading2"/>
      </w:pPr>
      <w:r>
        <w:rPr>
          <w:rFonts w:hint="eastAsia"/>
        </w:rPr>
        <w:t xml:space="preserve">你认为最难的一步是什么？为什么？</w:t>
      </w:r>
    </w:p>
    <w:p>
      <w:pPr>
        <w:pStyle w:val="FirstParagraph"/>
      </w:pPr>
      <w:r>
        <w:rPr>
          <w:rFonts w:hint="eastAsia"/>
        </w:rPr>
        <w:t xml:space="preserve">最难的是Step</w:t>
      </w:r>
      <w:r>
        <w:t xml:space="preserve"> </w:t>
      </w:r>
      <w:r>
        <w:rPr>
          <w:rFonts w:hint="eastAsia"/>
        </w:rPr>
        <w:t xml:space="preserve">6“提炼头部企业案例与财务价值证据”。</w:t>
      </w:r>
    </w:p>
    <w:p>
      <w:pPr>
        <w:pStyle w:val="BodyText"/>
      </w:pPr>
      <w:r>
        <w:rPr>
          <w:rFonts w:hint="eastAsia"/>
        </w:rPr>
        <w:t xml:space="preserve">原因在于，制造业AI案例很多，但真正对CEO/CFO有说服力的不是“企业用了AI”，而是“AI带来了多大经营改善、回收周期如何、能否复制”。公开材料往往会强调示范意义，却不一定完整披露投入规模、收益口径和基准对照。因此，这一步既要保证案例典型性，又要尽量找到可验证的量化证据，还要避免夸大效果。它直接决定整份报告是否具有决策参考价值，而不是停留在趋势描述层面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2026-04-02T16:47:15Z</dcterms:created>
  <dcterms:modified xsi:type="dcterms:W3CDTF">2026-04-02T16:47:15Z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