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160"/>
      </w:pPr>
      <w:r>
        <w:rPr>
          <w:rFonts w:ascii="Noto Sans SC" w:hAnsi="Noto Sans SC" w:eastAsia="Noto Sans SC"/>
          <w:b/>
          <w:color w:val="2E74B5"/>
          <w:sz w:val="22"/>
        </w:rPr>
        <w:t>产品与技术实施计划</w:t>
      </w:r>
    </w:p>
    <w:p>
      <w:pPr>
        <w:spacing w:after="100"/>
      </w:pPr>
      <w:r>
        <w:rPr>
          <w:rFonts w:ascii="Noto Sans SC" w:hAnsi="Noto Sans SC" w:eastAsia="Noto Sans SC"/>
          <w:b/>
          <w:color w:val="172B4D"/>
          <w:sz w:val="56"/>
        </w:rPr>
        <w:t>DailyFlow 2.2</w:t>
      </w:r>
    </w:p>
    <w:p>
      <w:pPr>
        <w:spacing w:after="360"/>
      </w:pPr>
      <w:r>
        <w:rPr>
          <w:rFonts w:ascii="Noto Sans SC" w:hAnsi="Noto Sans SC" w:eastAsia="Noto Sans SC"/>
          <w:b/>
          <w:color w:val="1F4D78"/>
          <w:sz w:val="32"/>
        </w:rPr>
        <w:t>AI Event Operator：以 Mindmap 为工作现场的开放 Harness 接入方案</w:t>
      </w:r>
    </w:p>
    <w:p>
      <w:pPr>
        <w:spacing w:after="60"/>
      </w:pPr>
      <w:r>
        <w:rPr>
          <w:rFonts w:ascii="Noto Sans SC" w:hAnsi="Noto Sans SC" w:eastAsia="Noto Sans SC"/>
          <w:b/>
          <w:color w:val="172B4D"/>
          <w:sz w:val="21"/>
        </w:rPr>
        <w:t>文档状态：</w:t>
      </w:r>
      <w:r>
        <w:rPr>
          <w:rFonts w:ascii="Noto Sans SC" w:hAnsi="Noto Sans SC" w:eastAsia="Noto Sans SC"/>
          <w:color w:val="333333"/>
          <w:sz w:val="21"/>
        </w:rPr>
        <w:t>实施建议稿 / 可进入技术 Spike</w:t>
      </w:r>
    </w:p>
    <w:p>
      <w:pPr>
        <w:spacing w:after="60"/>
      </w:pPr>
      <w:r>
        <w:rPr>
          <w:rFonts w:ascii="Noto Sans SC" w:hAnsi="Noto Sans SC" w:eastAsia="Noto Sans SC"/>
          <w:b/>
          <w:color w:val="172B4D"/>
          <w:sz w:val="21"/>
        </w:rPr>
        <w:t>版本：</w:t>
      </w:r>
      <w:r>
        <w:rPr>
          <w:rFonts w:ascii="Noto Sans SC" w:hAnsi="Noto Sans SC" w:eastAsia="Noto Sans SC"/>
          <w:color w:val="333333"/>
          <w:sz w:val="21"/>
        </w:rPr>
        <w:t>v1.0</w:t>
      </w:r>
    </w:p>
    <w:p>
      <w:pPr>
        <w:spacing w:after="60"/>
      </w:pPr>
      <w:r>
        <w:rPr>
          <w:rFonts w:ascii="Noto Sans SC" w:hAnsi="Noto Sans SC" w:eastAsia="Noto Sans SC"/>
          <w:b/>
          <w:color w:val="172B4D"/>
          <w:sz w:val="21"/>
        </w:rPr>
        <w:t>日期：</w:t>
      </w:r>
      <w:r>
        <w:rPr>
          <w:rFonts w:ascii="Noto Sans SC" w:hAnsi="Noto Sans SC" w:eastAsia="Noto Sans SC"/>
          <w:color w:val="333333"/>
          <w:sz w:val="21"/>
        </w:rPr>
        <w:t>2026 年 8 月 22 日</w:t>
      </w:r>
    </w:p>
    <w:p>
      <w:pPr>
        <w:spacing w:after="60"/>
      </w:pPr>
      <w:r>
        <w:rPr>
          <w:rFonts w:ascii="Noto Sans SC" w:hAnsi="Noto Sans SC" w:eastAsia="Noto Sans SC"/>
          <w:b/>
          <w:color w:val="172B4D"/>
          <w:sz w:val="21"/>
        </w:rPr>
        <w:t>目标版本：</w:t>
      </w:r>
      <w:r>
        <w:rPr>
          <w:rFonts w:ascii="Noto Sans SC" w:hAnsi="Noto Sans SC" w:eastAsia="Noto Sans SC"/>
          <w:color w:val="333333"/>
          <w:sz w:val="21"/>
        </w:rPr>
        <w:t>DailyFlow 2.2</w:t>
      </w:r>
    </w:p>
    <w:p>
      <w:pPr>
        <w:spacing w:after="60"/>
      </w:pPr>
      <w:r>
        <w:rPr>
          <w:rFonts w:ascii="Noto Sans SC" w:hAnsi="Noto Sans SC" w:eastAsia="Noto Sans SC"/>
          <w:b/>
          <w:color w:val="172B4D"/>
          <w:sz w:val="21"/>
        </w:rPr>
        <w:t>首个纵向闭环：</w:t>
      </w:r>
      <w:r>
        <w:rPr>
          <w:rFonts w:ascii="Noto Sans SC" w:hAnsi="Noto Sans SC" w:eastAsia="Noto Sans SC"/>
          <w:color w:val="333333"/>
          <w:sz w:val="21"/>
        </w:rPr>
        <w:t>会议证据 → Event Mindmap → Commitment → Today → Outcome</w:t>
      </w:r>
    </w:p>
    <w:p>
      <w:pPr>
        <w:spacing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shd w:fill="EAF3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SC" w:hAnsi="Noto Sans SC" w:eastAsia="Noto Sans SC"/>
                <w:b/>
                <w:color w:val="2E74B5"/>
                <w:sz w:val="22"/>
              </w:rPr>
              <w:t xml:space="preserve">核心决策  </w:t>
            </w:r>
            <w:r>
              <w:rPr>
                <w:rFonts w:ascii="Noto Sans SC" w:hAnsi="Noto Sans SC" w:eastAsia="Noto Sans SC"/>
                <w:color w:val="172B4D"/>
                <w:sz w:val="22"/>
              </w:rPr>
              <w:t>不从零开发通用 Agent Harness。首选接入 Codex App Server，并通过 AgentRuntime 适配层保持可替换性；DailyFlow 自研并长期掌握 Event、Mindmap、Evidence、Commitment、Proposal 与 Today 的领域控制平面。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执行摘要</w:t>
      </w:r>
    </w:p>
    <w:p>
      <w:r>
        <w:rPr>
          <w:rFonts w:ascii="Noto Sans SC" w:hAnsi="Noto Sans SC" w:eastAsia="Noto Sans SC"/>
          <w:sz w:val="22"/>
        </w:rPr>
        <w:t>DailyFlow 2.2 的目标不是增加一个独立 AI 页面，也不是把 Codex 原样嵌入产品，而是让 AI 在用户已经工作的 Event Mindmap 中持续推进真实事项。Event 是工作容器，Mindmap 是人与 AI 的共同工作现场，Note 与转录提供 Evidence，Commitment 是执行状态的唯一真相，Today 是当前行动投影。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首版只实现一个可演示、可验证的纵向闭环：AI 推进一个 Event。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会议 Note 是新增证据和触发器，不再产生一批与 Event 割裂的孤立 Task。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AI 对 Mindmap 的任何修改都先形成 Graph Patch Proposal，并以半透明节点在画布中预览。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Task 与 Waiting 节点接受后，才创建或更新 Commitment；Today 与 Mindmap 都读取同一 Commitment 状态。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Codex 负责通用 Agent Loop、流式执行、工具调用、暂停恢复与审批请求；DailyFlow 负责领域规则、权限、验证、审计与产品体验。</w:t>
      </w:r>
    </w:p>
    <w:p>
      <w:pPr>
        <w:pStyle w:val="Heading1"/>
        <w:keepNext/>
      </w:pPr>
      <w:r>
        <w:t>2. 产品统一模型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86812"/>
            <wp:docPr id="1" name="Picture 1" descr="DailyFlow 统一产品模型：Event 连接 Mindmap、Notes 与 Evidence、Commitment 和 Today" title="DailyFlow 统一产品模型：Event 连接 Mindmap、Notes 与 Evidence、Commitment 和 Toda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ied-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868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B61A8"/>
          <w:left w:val="single" w:sz="8" w:space="0" w:color="7B61A8"/>
          <w:bottom w:val="single" w:sz="8" w:space="0" w:color="7B61A8"/>
          <w:right w:val="single" w:sz="8" w:space="0" w:color="7B61A8"/>
          <w:insideH w:val="single" w:sz="8" w:space="0" w:color="7B61A8"/>
          <w:insideV w:val="single" w:sz="8" w:space="0" w:color="7B61A8"/>
        </w:tblBorders>
      </w:tblPr>
      <w:tblGrid>
        <w:gridCol w:w="9360"/>
      </w:tblGrid>
      <w:tr>
        <w:tc>
          <w:tcPr>
            <w:tcW w:type="dxa" w:w="9360"/>
            <w:shd w:fill="F4EE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SC" w:hAnsi="Noto Sans SC" w:eastAsia="Noto Sans SC"/>
                <w:b/>
                <w:color w:val="7B61A8"/>
                <w:sz w:val="22"/>
              </w:rPr>
              <w:t xml:space="preserve">统一口径  </w:t>
            </w:r>
            <w:r>
              <w:rPr>
                <w:rFonts w:ascii="Noto Sans SC" w:hAnsi="Noto Sans SC" w:eastAsia="Noto Sans SC"/>
                <w:color w:val="172B4D"/>
                <w:sz w:val="22"/>
              </w:rPr>
              <w:t>第一个 Agent 应命名为 AI Event Operator，而不是 Meeting Closure Agent。会议是输入，Event 是运行范围，Mindmap 是结果落点。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各对象的职责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1280"/>
        <w:gridCol w:w="3920"/>
        <w:gridCol w:w="4160"/>
      </w:tblGrid>
      <w:tr>
        <w:trPr>
          <w:tblHeader/>
        </w:trPr>
        <w:tc>
          <w:tcPr>
            <w:tcW w:type="dxa" w:w="128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172B4D"/>
                <w:sz w:val="20"/>
              </w:rPr>
              <w:t>对象</w:t>
            </w:r>
          </w:p>
        </w:tc>
        <w:tc>
          <w:tcPr>
            <w:tcW w:type="dxa" w:w="392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172B4D"/>
                <w:sz w:val="20"/>
              </w:rPr>
              <w:t>职责</w:t>
            </w:r>
          </w:p>
        </w:tc>
        <w:tc>
          <w:tcPr>
            <w:tcW w:type="dxa" w:w="416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172B4D"/>
                <w:sz w:val="20"/>
              </w:rPr>
              <w:t>系统约束</w:t>
            </w:r>
          </w:p>
        </w:tc>
      </w:tr>
      <w:tr>
        <w:tc>
          <w:tcPr>
            <w:tcW w:type="dxa" w:w="12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Event</w:t>
            </w:r>
          </w:p>
        </w:tc>
        <w:tc>
          <w:tcPr>
            <w:tcW w:type="dxa" w:w="39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承载一个真实工作目标的范围、状态、参与者、材料和结果。</w:t>
            </w:r>
          </w:p>
        </w:tc>
        <w:tc>
          <w:tcPr>
            <w:tcW w:type="dxa" w:w="4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聚合根；所有 AI Run 必须绑定 workspaceId 和 eventId。</w:t>
            </w:r>
          </w:p>
        </w:tc>
      </w:tr>
      <w:tr>
        <w:tc>
          <w:tcPr>
            <w:tcW w:type="dxa" w:w="12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Mindmap</w:t>
            </w:r>
          </w:p>
        </w:tc>
        <w:tc>
          <w:tcPr>
            <w:tcW w:type="dxa" w:w="39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呈现 Event 的结构、分支、问题、风险、决策和行动。</w:t>
            </w:r>
          </w:p>
        </w:tc>
        <w:tc>
          <w:tcPr>
            <w:tcW w:type="dxa" w:w="4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结构化工作现场；AI 通过 Graph Patch 提议修改。</w:t>
            </w:r>
          </w:p>
        </w:tc>
      </w:tr>
      <w:tr>
        <w:tc>
          <w:tcPr>
            <w:tcW w:type="dxa" w:w="12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Note / Evidence</w:t>
            </w:r>
          </w:p>
        </w:tc>
        <w:tc>
          <w:tcPr>
            <w:tcW w:type="dxa" w:w="39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保存会议、转录、用户判断与可定位原文。</w:t>
            </w:r>
          </w:p>
        </w:tc>
        <w:tc>
          <w:tcPr>
            <w:tcW w:type="dxa" w:w="4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事实来源；不得被 AI 静默拆散或覆盖。</w:t>
            </w:r>
          </w:p>
        </w:tc>
      </w:tr>
      <w:tr>
        <w:tc>
          <w:tcPr>
            <w:tcW w:type="dxa" w:w="12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Commitment</w:t>
            </w:r>
          </w:p>
        </w:tc>
        <w:tc>
          <w:tcPr>
            <w:tcW w:type="dxa" w:w="39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表达谁承诺为谁在何时产出什么结果。</w:t>
            </w:r>
          </w:p>
        </w:tc>
        <w:tc>
          <w:tcPr>
            <w:tcW w:type="dxa" w:w="4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执行状态唯一真相；Mindmap 和 Today 不复制状态。</w:t>
            </w:r>
          </w:p>
        </w:tc>
      </w:tr>
      <w:tr>
        <w:tc>
          <w:tcPr>
            <w:tcW w:type="dxa" w:w="12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Today</w:t>
            </w:r>
          </w:p>
        </w:tc>
        <w:tc>
          <w:tcPr>
            <w:tcW w:type="dxa" w:w="39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显示当前需要执行的 Next Action。</w:t>
            </w:r>
          </w:p>
        </w:tc>
        <w:tc>
          <w:tcPr>
            <w:tcW w:type="dxa" w:w="4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Commitment 的时间视图，不是独立任务库。</w:t>
            </w:r>
          </w:p>
        </w:tc>
      </w:tr>
      <w:tr>
        <w:tc>
          <w:tcPr>
            <w:tcW w:type="dxa" w:w="12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Outcome</w:t>
            </w:r>
          </w:p>
        </w:tc>
        <w:tc>
          <w:tcPr>
            <w:tcW w:type="dxa" w:w="39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记录真实发生的交付、决定、失败或取消。</w:t>
            </w:r>
          </w:p>
        </w:tc>
        <w:tc>
          <w:tcPr>
            <w:tcW w:type="dxa" w:w="4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完成 Event 的证据，而不只是 checkbox。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核心用户流程</w:t>
      </w:r>
    </w:p>
    <w:p>
      <w:pPr>
        <w:pStyle w:val="Heading2"/>
        <w:keepNext/>
      </w:pPr>
      <w:r>
        <w:t>3.1 入口 A：从 Event Mindmap 推进</w:t>
      </w:r>
    </w:p>
    <w:p>
      <w:pPr>
        <w:spacing w:after="160" w:line="280" w:lineRule="auto"/>
        <w:numPr>
          <w:ilvl w:val="0"/>
          <w:numId w:val="101"/>
        </w:numPr>
      </w:pPr>
      <w:r>
        <w:rPr>
          <w:rFonts w:ascii="Noto Sans SC" w:hAnsi="Noto Sans SC" w:eastAsia="Noto Sans SC"/>
          <w:sz w:val="22"/>
        </w:rPr>
        <w:t>用户打开 Event，例如“A 轮融资”。</w:t>
      </w:r>
    </w:p>
    <w:p>
      <w:pPr>
        <w:spacing w:after="160" w:line="280" w:lineRule="auto"/>
        <w:numPr>
          <w:ilvl w:val="0"/>
          <w:numId w:val="101"/>
        </w:numPr>
      </w:pPr>
      <w:r>
        <w:rPr>
          <w:rFonts w:ascii="Noto Sans SC" w:hAnsi="Noto Sans SC" w:eastAsia="Noto Sans SC"/>
          <w:sz w:val="22"/>
        </w:rPr>
        <w:t>点击画布右下角“AI 推进这个 Event”。</w:t>
      </w:r>
    </w:p>
    <w:p>
      <w:pPr>
        <w:spacing w:after="160" w:line="280" w:lineRule="auto"/>
        <w:numPr>
          <w:ilvl w:val="0"/>
          <w:numId w:val="101"/>
        </w:numPr>
      </w:pPr>
      <w:r>
        <w:rPr>
          <w:rFonts w:ascii="Noto Sans SC" w:hAnsi="Noto Sans SC" w:eastAsia="Noto Sans SC"/>
          <w:sz w:val="22"/>
        </w:rPr>
        <w:t>DailyFlow 展示即将读取的地图、关联 Notes、Commitments 和最近 Evidence，用户可移除上下文。</w:t>
      </w:r>
    </w:p>
    <w:p>
      <w:pPr>
        <w:spacing w:after="160" w:line="280" w:lineRule="auto"/>
        <w:numPr>
          <w:ilvl w:val="0"/>
          <w:numId w:val="101"/>
        </w:numPr>
      </w:pPr>
      <w:r>
        <w:rPr>
          <w:rFonts w:ascii="Noto Sans SC" w:hAnsi="Noto Sans SC" w:eastAsia="Noto Sans SC"/>
          <w:sz w:val="22"/>
        </w:rPr>
        <w:t>AI 开始运行，右侧 AgentRunPanel 展示 Collect、Retrieve、Extract、Resolve、Prepare、Review 六个阶段。</w:t>
      </w:r>
    </w:p>
    <w:p>
      <w:pPr>
        <w:spacing w:after="160" w:line="280" w:lineRule="auto"/>
        <w:numPr>
          <w:ilvl w:val="0"/>
          <w:numId w:val="101"/>
        </w:numPr>
      </w:pPr>
      <w:r>
        <w:rPr>
          <w:rFonts w:ascii="Noto Sans SC" w:hAnsi="Noto Sans SC" w:eastAsia="Noto Sans SC"/>
          <w:sz w:val="22"/>
        </w:rPr>
        <w:t>AI 建议以半透明节点和虚线边显示在现有画布上，不立即落库。</w:t>
      </w:r>
    </w:p>
    <w:p>
      <w:pPr>
        <w:spacing w:after="160" w:line="280" w:lineRule="auto"/>
        <w:numPr>
          <w:ilvl w:val="0"/>
          <w:numId w:val="101"/>
        </w:numPr>
      </w:pPr>
      <w:r>
        <w:rPr>
          <w:rFonts w:ascii="Noto Sans SC" w:hAnsi="Noto Sans SC" w:eastAsia="Noto Sans SC"/>
          <w:sz w:val="22"/>
        </w:rPr>
        <w:t>用户逐项接受、修改或拒绝；接受 task/waiting 节点时同步创建或更新 Commitment。</w:t>
      </w:r>
    </w:p>
    <w:p>
      <w:pPr>
        <w:pStyle w:val="Heading2"/>
        <w:keepNext/>
      </w:pPr>
      <w:r>
        <w:t>3.2 入口 B：从会议 Note 推进</w:t>
      </w:r>
    </w:p>
    <w:p>
      <w:r>
        <w:rPr>
          <w:rFonts w:ascii="Noto Sans SC" w:hAnsi="Noto Sans SC" w:eastAsia="Noto Sans SC"/>
          <w:sz w:val="22"/>
        </w:rPr>
        <w:t>用户在会议 Note 中点击“AI 推进会议”时，系统首先寻找目标 Event，而不是直接生成任务。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已关联 Event：提示“将更新该 Event 的 Mindmap”，随后打开画布并启动 Run。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未关联 Event：让用户选择关联现有 Event、创建新 Event，或仅提取内容但不更新地图。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默认推荐关联 Event，避免产生无法持续追踪的孤立 AI 结果。</w:t>
      </w:r>
    </w:p>
    <w:p>
      <w:pPr>
        <w:pStyle w:val="Heading2"/>
        <w:keepNext/>
      </w:pPr>
      <w:r>
        <w:t>3.3 AI 建议在画布中的表现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1740"/>
        <w:gridCol w:w="4520"/>
        <w:gridCol w:w="3100"/>
      </w:tblGrid>
      <w:tr>
        <w:trPr>
          <w:tblHeader/>
        </w:trPr>
        <w:tc>
          <w:tcPr>
            <w:tcW w:type="dxa" w:w="174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172B4D"/>
                <w:sz w:val="20"/>
              </w:rPr>
              <w:t>视觉状态</w:t>
            </w:r>
          </w:p>
        </w:tc>
        <w:tc>
          <w:tcPr>
            <w:tcW w:type="dxa" w:w="452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172B4D"/>
                <w:sz w:val="20"/>
              </w:rPr>
              <w:t>含义</w:t>
            </w:r>
          </w:p>
        </w:tc>
        <w:tc>
          <w:tcPr>
            <w:tcW w:type="dxa" w:w="31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172B4D"/>
                <w:sz w:val="20"/>
              </w:rPr>
              <w:t>用户动作</w:t>
            </w:r>
          </w:p>
        </w:tc>
      </w:tr>
      <w:tr>
        <w:tc>
          <w:tcPr>
            <w:tcW w:type="dxa" w:w="1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紫色虚线节点</w:t>
            </w:r>
          </w:p>
        </w:tc>
        <w:tc>
          <w:tcPr>
            <w:tcW w:type="dxa" w:w="4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AI 建议新增，尚未写入。</w:t>
            </w:r>
          </w:p>
        </w:tc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接受 / 修改 / 拒绝</w:t>
            </w:r>
          </w:p>
        </w:tc>
      </w:tr>
      <w:tr>
        <w:tc>
          <w:tcPr>
            <w:tcW w:type="dxa" w:w="1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黄色高亮节点</w:t>
            </w:r>
          </w:p>
        </w:tc>
        <w:tc>
          <w:tcPr>
            <w:tcW w:type="dxa" w:w="4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AI 建议更新或移动现有节点。</w:t>
            </w:r>
          </w:p>
        </w:tc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查看 before/after 后确认</w:t>
            </w:r>
          </w:p>
        </w:tc>
      </w:tr>
      <w:tr>
        <w:tc>
          <w:tcPr>
            <w:tcW w:type="dxa" w:w="1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红色提示</w:t>
            </w:r>
          </w:p>
        </w:tc>
        <w:tc>
          <w:tcPr>
            <w:tcW w:type="dxa" w:w="4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发现冲突、重复、低置信度或高风险修改。</w:t>
            </w:r>
          </w:p>
        </w:tc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必须逐项处理</w:t>
            </w:r>
          </w:p>
        </w:tc>
      </w:tr>
      <w:tr>
        <w:tc>
          <w:tcPr>
            <w:tcW w:type="dxa" w:w="1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Evidence 图标</w:t>
            </w:r>
          </w:p>
        </w:tc>
        <w:tc>
          <w:tcPr>
            <w:tcW w:type="dxa" w:w="4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该判断存在可定位原文。</w:t>
            </w:r>
          </w:p>
        </w:tc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点击返回 Note 或转录片段</w:t>
            </w:r>
          </w:p>
        </w:tc>
      </w:tr>
      <w:tr>
        <w:tc>
          <w:tcPr>
            <w:tcW w:type="dxa" w:w="1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Task / Waiting 图标</w:t>
            </w:r>
          </w:p>
        </w:tc>
        <w:tc>
          <w:tcPr>
            <w:tcW w:type="dxa" w:w="4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接受后会进入执行系统。</w:t>
            </w:r>
          </w:p>
        </w:tc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补充 owner、due、reviewAt 等字段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Mindmap 节点语义</w:t>
      </w:r>
    </w:p>
    <w:p>
      <w:r>
        <w:rPr>
          <w:rFonts w:ascii="Noto Sans SC" w:hAnsi="Noto Sans SC" w:eastAsia="Noto Sans SC"/>
          <w:sz w:val="22"/>
        </w:rPr>
        <w:t>Mindmap 不只是自由文本图。AI 介入后，每类节点必须具有清晰领域语义，但仍允许用户自由使用普通 branch。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1420"/>
        <w:gridCol w:w="3180"/>
        <w:gridCol w:w="4760"/>
      </w:tblGrid>
      <w:tr>
        <w:trPr>
          <w:tblHeader/>
        </w:trPr>
        <w:tc>
          <w:tcPr>
            <w:tcW w:type="dxa" w:w="142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172B4D"/>
                <w:sz w:val="20"/>
              </w:rPr>
              <w:t>节点类型</w:t>
            </w:r>
          </w:p>
        </w:tc>
        <w:tc>
          <w:tcPr>
            <w:tcW w:type="dxa" w:w="318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172B4D"/>
                <w:sz w:val="20"/>
              </w:rPr>
              <w:t>对应对象</w:t>
            </w:r>
          </w:p>
        </w:tc>
        <w:tc>
          <w:tcPr>
            <w:tcW w:type="dxa" w:w="476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172B4D"/>
                <w:sz w:val="20"/>
              </w:rPr>
              <w:t>行为</w:t>
            </w:r>
          </w:p>
        </w:tc>
      </w:tr>
      <w:tr>
        <w:tc>
          <w:tcPr>
            <w:tcW w:type="dxa" w:w="14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branch</w:t>
            </w:r>
          </w:p>
        </w:tc>
        <w:tc>
          <w:tcPr>
            <w:tcW w:type="dxa" w:w="31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无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仅组织地图，不进入执行系统。</w:t>
            </w:r>
          </w:p>
        </w:tc>
      </w:tr>
      <w:tr>
        <w:tc>
          <w:tcPr>
            <w:tcW w:type="dxa" w:w="14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task</w:t>
            </w:r>
          </w:p>
        </w:tc>
        <w:tc>
          <w:tcPr>
            <w:tcW w:type="dxa" w:w="31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Commitment / Next Action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接受后可排入 Today；状态读取 Commitment。</w:t>
            </w:r>
          </w:p>
        </w:tc>
      </w:tr>
      <w:tr>
        <w:tc>
          <w:tcPr>
            <w:tcW w:type="dxa" w:w="14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decision</w:t>
            </w:r>
          </w:p>
        </w:tc>
        <w:tc>
          <w:tcPr>
            <w:tcW w:type="dxa" w:w="31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Decision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保存 Evidence，可被后续 Run 引用。</w:t>
            </w:r>
          </w:p>
        </w:tc>
      </w:tr>
      <w:tr>
        <w:tc>
          <w:tcPr>
            <w:tcW w:type="dxa" w:w="14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waiting</w:t>
            </w:r>
          </w:p>
        </w:tc>
        <w:tc>
          <w:tcPr>
            <w:tcW w:type="dxa" w:w="31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Waiting Commitment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必须包含 waitingOn 与 reviewAt。</w:t>
            </w:r>
          </w:p>
        </w:tc>
      </w:tr>
      <w:tr>
        <w:tc>
          <w:tcPr>
            <w:tcW w:type="dxa" w:w="14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risk</w:t>
            </w:r>
          </w:p>
        </w:tc>
        <w:tc>
          <w:tcPr>
            <w:tcW w:type="dxa" w:w="31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Event Risk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供 AI 和用户持续观察，不自动创建任务。</w:t>
            </w:r>
          </w:p>
        </w:tc>
      </w:tr>
      <w:tr>
        <w:tc>
          <w:tcPr>
            <w:tcW w:type="dxa" w:w="14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question</w:t>
            </w:r>
          </w:p>
        </w:tc>
        <w:tc>
          <w:tcPr>
            <w:tcW w:type="dxa" w:w="31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Open Question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作为后续会议或研究的待澄清项。</w:t>
            </w:r>
          </w:p>
        </w:tc>
      </w:tr>
      <w:tr>
        <w:tc>
          <w:tcPr>
            <w:tcW w:type="dxa" w:w="14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resource</w:t>
            </w:r>
          </w:p>
        </w:tc>
        <w:tc>
          <w:tcPr>
            <w:tcW w:type="dxa" w:w="31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Note / Source / Evidence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打开原始材料。</w:t>
            </w:r>
          </w:p>
        </w:tc>
      </w:tr>
      <w:tr>
        <w:tc>
          <w:tcPr>
            <w:tcW w:type="dxa" w:w="14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outcome</w:t>
            </w:r>
          </w:p>
        </w:tc>
        <w:tc>
          <w:tcPr>
            <w:tcW w:type="dxa" w:w="31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Outcome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记录真实结果，并支持 Event 关闭判断。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AI Event Operator 运行流程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1867662"/>
            <wp:docPr id="2" name="Picture 2" descr="AI Event Operator 六阶段运行流程：Collect、Retrieve、Extract、Resolve、Prepare、Review" title="AI Event Operator 六阶段运行流程：Collect、Retrieve、Extract、Resolve、Prepare、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67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SC" w:hAnsi="Noto Sans SC" w:eastAsia="Noto Sans SC"/>
          <w:b/>
          <w:color w:val="172B4D"/>
          <w:sz w:val="22"/>
        </w:rPr>
        <w:t>Collect：</w:t>
      </w:r>
      <w:r>
        <w:rPr>
          <w:rFonts w:ascii="Noto Sans SC" w:hAnsi="Noto Sans SC" w:eastAsia="Noto Sans SC"/>
          <w:sz w:val="22"/>
        </w:rPr>
        <w:t>读取 Event Graph、关联 Notes、转录、新增 Source 与用户选择的上下文。</w:t>
      </w:r>
    </w:p>
    <w:p>
      <w:r>
        <w:rPr>
          <w:rFonts w:ascii="Noto Sans SC" w:hAnsi="Noto Sans SC" w:eastAsia="Noto Sans SC"/>
          <w:b/>
          <w:color w:val="172B4D"/>
          <w:sz w:val="22"/>
        </w:rPr>
        <w:t>Retrieve：</w:t>
      </w:r>
      <w:r>
        <w:rPr>
          <w:rFonts w:ascii="Noto Sans SC" w:hAnsi="Noto Sans SC" w:eastAsia="Noto Sans SC"/>
          <w:sz w:val="22"/>
        </w:rPr>
        <w:t>根据 Event、项目、参与者和地图实体召回相关 Commitment、Decision 与 Evidence，并受上下文预算限制。</w:t>
      </w:r>
    </w:p>
    <w:p>
      <w:r>
        <w:rPr>
          <w:rFonts w:ascii="Noto Sans SC" w:hAnsi="Noto Sans SC" w:eastAsia="Noto Sans SC"/>
          <w:b/>
          <w:color w:val="172B4D"/>
          <w:sz w:val="22"/>
        </w:rPr>
        <w:t>Extract：</w:t>
      </w:r>
      <w:r>
        <w:rPr>
          <w:rFonts w:ascii="Noto Sans SC" w:hAnsi="Noto Sans SC" w:eastAsia="Noto Sans SC"/>
          <w:sz w:val="22"/>
        </w:rPr>
        <w:t>从新证据中识别 Decision、Commitment、Open Question、Risk 和 Resource 引用，所有事实性结论必须携带 Evidence。</w:t>
      </w:r>
    </w:p>
    <w:p>
      <w:r>
        <w:rPr>
          <w:rFonts w:ascii="Noto Sans SC" w:hAnsi="Noto Sans SC" w:eastAsia="Noto Sans SC"/>
          <w:b/>
          <w:color w:val="172B4D"/>
          <w:sz w:val="22"/>
        </w:rPr>
        <w:t>Resolve：</w:t>
      </w:r>
      <w:r>
        <w:rPr>
          <w:rFonts w:ascii="Noto Sans SC" w:hAnsi="Noto Sans SC" w:eastAsia="Noto Sans SC"/>
          <w:sz w:val="22"/>
        </w:rPr>
        <w:t>检查重复、owner、截止时间、状态合法性、与现有节点的关系；确定是新增、更新、移动还是仅保留摘要。</w:t>
      </w:r>
    </w:p>
    <w:p>
      <w:r>
        <w:rPr>
          <w:rFonts w:ascii="Noto Sans SC" w:hAnsi="Noto Sans SC" w:eastAsia="Noto Sans SC"/>
          <w:b/>
          <w:color w:val="172B4D"/>
          <w:sz w:val="22"/>
        </w:rPr>
        <w:t>Prepare：</w:t>
      </w:r>
      <w:r>
        <w:rPr>
          <w:rFonts w:ascii="Noto Sans SC" w:hAnsi="Noto Sans SC" w:eastAsia="Noto Sans SC"/>
          <w:sz w:val="22"/>
        </w:rPr>
        <w:t>生成 EventGraphProposal 和 Proposal Bundle，不修改正式数据。</w:t>
      </w:r>
    </w:p>
    <w:p>
      <w:r>
        <w:rPr>
          <w:rFonts w:ascii="Noto Sans SC" w:hAnsi="Noto Sans SC" w:eastAsia="Noto Sans SC"/>
          <w:b/>
          <w:color w:val="172B4D"/>
          <w:sz w:val="22"/>
        </w:rPr>
        <w:t>Review：</w:t>
      </w:r>
      <w:r>
        <w:rPr>
          <w:rFonts w:ascii="Noto Sans SC" w:hAnsi="Noto Sans SC" w:eastAsia="Noto Sans SC"/>
          <w:sz w:val="22"/>
        </w:rPr>
        <w:t>Run 进入 waiting_review，画布展示候选节点；用户确认后才应用。</w:t>
      </w:r>
    </w:p>
    <w:p>
      <w:pPr>
        <w:pStyle w:val="Heading1"/>
        <w:keepNext/>
      </w:pPr>
      <w:r>
        <w:t>6. Harness 选型与边界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shd w:fill="EAF3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SC" w:hAnsi="Noto Sans SC" w:eastAsia="Noto Sans SC"/>
                <w:b/>
                <w:color w:val="2E74B5"/>
                <w:sz w:val="22"/>
              </w:rPr>
              <w:t xml:space="preserve">实施选择  </w:t>
            </w:r>
            <w:r>
              <w:rPr>
                <w:rFonts w:ascii="Noto Sans SC" w:hAnsi="Noto Sans SC" w:eastAsia="Noto Sans SC"/>
                <w:color w:val="172B4D"/>
                <w:sz w:val="22"/>
              </w:rPr>
              <w:t>第一轮技术 Spike 使用 Codex App Server。DailyFlow 不复制其通用运行循环，但通过自有 AgentRuntime 接口隔离协议和供应商依赖。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Codex 负责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多轮 Agent Loop 与工具调用。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流式执行事件和进度反馈。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上下文维护与必要的压缩。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暂停、继续、取消与审批请求。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通用失败处理与运行边界。</w:t>
      </w:r>
    </w:p>
    <w:p>
      <w:pPr>
        <w:pStyle w:val="Heading2"/>
        <w:keepNext/>
      </w:pPr>
      <w:r>
        <w:t>6.2 DailyFlow 负责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Event、Mindmap、Evidence、Commitment、Proposal、Today 和 Outcome 的领域模型。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Agent 可见范围、数据最小化、字段级权限和外部写入策略。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Graph Patch 与 Proposal 的确定性验证、幂等应用和审计。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用户可见的画布 Diff、Evidence 回溯、审批与恢复体验。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跨 Runtime 的标准事件、评测样本和回归指标。</w:t>
      </w:r>
    </w:p>
    <w:p>
      <w:pPr>
        <w:pStyle w:val="Heading2"/>
        <w:keepNext/>
      </w:pPr>
      <w:r>
        <w:t>6.3 AgentRuntime 适配接口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5"/>
          <w:left w:val="single" w:sz="4" w:space="0" w:color="D3DAE5"/>
          <w:bottom w:val="single" w:sz="4" w:space="0" w:color="D3DAE5"/>
          <w:right w:val="single" w:sz="4" w:space="0" w:color="D3DAE5"/>
          <w:insideH w:val="single" w:sz="4" w:space="0" w:color="D3DAE5"/>
          <w:insideV w:val="single" w:sz="4" w:space="0" w:color="D3DAE5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Noto Sans SC"/>
                <w:color w:val="24364B"/>
                <w:sz w:val="18"/>
              </w:rPr>
              <w:t>interface AgentRuntime {</w:t>
              <w:br/>
              <w:t xml:space="preserve">  start(input: RunSpec): Promise&lt;RunHandle&gt;;</w:t>
              <w:br/>
              <w:t xml:space="preserve">  resume(runId: string): Promise&lt;void&gt;;</w:t>
              <w:br/>
              <w:t xml:space="preserve">  cancel(runId: string): Promise&lt;void&gt;;</w:t>
              <w:br/>
              <w:t xml:space="preserve">  approve(runId: string, approvalId: string): Promise&lt;void&gt;;</w:t>
              <w:br/>
              <w:t xml:space="preserve">  stream(runId: string): AsyncIterable&lt;RuntimeEvent&gt;;</w:t>
              <w:br/>
              <w:t>}</w:t>
            </w:r>
          </w:p>
        </w:tc>
      </w:tr>
    </w:tbl>
    <w:p>
      <w:pPr>
        <w:spacing w:after="0"/>
      </w:pPr>
    </w:p>
    <w:p>
      <w:r>
        <w:rPr>
          <w:rFonts w:ascii="Noto Sans SC" w:hAnsi="Noto Sans SC" w:eastAsia="Noto Sans SC"/>
          <w:sz w:val="22"/>
        </w:rPr>
        <w:t>第一版实现 CodexAppServerRuntime，同时保留 SimpleRuntime 用于测试和无 Codex 环境降级。若 Codex 兼容性未达到门槛，再增加 DeepAgentsRuntime 或 LangGraph Runtime，不让业务 UI 和领域服务直接依赖第三方协议。</w:t>
      </w:r>
    </w:p>
    <w:p>
      <w:pPr>
        <w:pStyle w:val="Heading1"/>
        <w:keepNext/>
      </w:pPr>
      <w:r>
        <w:t>7. 工具清单与权限</w:t>
      </w:r>
    </w:p>
    <w:p>
      <w:pPr>
        <w:pStyle w:val="Heading2"/>
        <w:keepNext/>
      </w:pPr>
      <w:r>
        <w:t>7.1 允许的只读工具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read_event_graph(eventId)：读取节点、边、节点类型和实体引用，不提供画布坐标。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read_meeting_note(noteId)：读取 Note、版本、sourceIds 和关联 Event。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read_event(eventId)：读取 Event 目标、状态、参与者和关联实体。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search_memory(query, filters, limit)：按实体类型和项目范围召回 Evidence 摘要。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list_commitments(filters)：用于查重、判断进度和等待状态。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find_graph_location(eventId, subject)：建议新增节点的父分支。</w:t>
      </w:r>
    </w:p>
    <w:p>
      <w:pPr>
        <w:pStyle w:val="Heading2"/>
        <w:keepNext/>
      </w:pPr>
      <w:r>
        <w:t>7.2 只生成 Proposal 的工具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draft_event_extraction(...)：保存 Run 中间结果。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propose_graph_patch(eventId, operations)：生成图变更 Proposal。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create_proposal_bundle(...)：组合 Decision、Commitment、Plan 和 Draft 建议。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validate_graph_patch(proposalId)：运行确定性图和领域校验。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complete_run(proposalId, summary)：进入 waiting_review。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6A00"/>
          <w:left w:val="single" w:sz="8" w:space="0" w:color="8A6A00"/>
          <w:bottom w:val="single" w:sz="8" w:space="0" w:color="8A6A00"/>
          <w:right w:val="single" w:sz="8" w:space="0" w:color="8A6A00"/>
          <w:insideH w:val="single" w:sz="8" w:space="0" w:color="8A6A00"/>
          <w:insideV w:val="single" w:sz="8" w:space="0" w:color="8A6A00"/>
        </w:tblBorders>
      </w:tblPr>
      <w:tblGrid>
        <w:gridCol w:w="9360"/>
      </w:tblGrid>
      <w:tr>
        <w:tc>
          <w:tcPr>
            <w:tcW w:type="dxa" w:w="9360"/>
            <w:shd w:fill="FFF5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SC" w:hAnsi="Noto Sans SC" w:eastAsia="Noto Sans SC"/>
                <w:b/>
                <w:color w:val="8A6A00"/>
                <w:sz w:val="22"/>
              </w:rPr>
              <w:t xml:space="preserve">禁止能力  </w:t>
            </w:r>
            <w:r>
              <w:rPr>
                <w:rFonts w:ascii="Noto Sans SC" w:hAnsi="Noto Sans SC" w:eastAsia="Noto Sans SC"/>
                <w:color w:val="172B4D"/>
                <w:sz w:val="22"/>
              </w:rPr>
              <w:t>首版不向 Codex 暴露任意文件写入、Shell、直接修改 Commitment、删除节点、发送消息或修改外部日历。所有业务写入必须经 DailyFlow Proposal。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Graph Patch 设计</w:t>
      </w:r>
    </w:p>
    <w:p>
      <w:r>
        <w:rPr>
          <w:rFonts w:ascii="Noto Sans SC" w:hAnsi="Noto Sans SC" w:eastAsia="Noto Sans SC"/>
          <w:sz w:val="22"/>
        </w:rPr>
        <w:t>AI 不生成坐标，也不直接修改现有 Mindmap JSON。它只提交结构化 GraphOperation；布局仍由现有前端 layout 引擎计算。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5"/>
          <w:left w:val="single" w:sz="4" w:space="0" w:color="D3DAE5"/>
          <w:bottom w:val="single" w:sz="4" w:space="0" w:color="D3DAE5"/>
          <w:right w:val="single" w:sz="4" w:space="0" w:color="D3DAE5"/>
          <w:insideH w:val="single" w:sz="4" w:space="0" w:color="D3DAE5"/>
          <w:insideV w:val="single" w:sz="4" w:space="0" w:color="D3DAE5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Noto Sans SC"/>
                <w:color w:val="24364B"/>
                <w:sz w:val="18"/>
              </w:rPr>
              <w:t>type GraphOperation =</w:t>
              <w:br/>
              <w:t xml:space="preserve">  | { op: 'add_node'; tempId: string; parentId: string;</w:t>
              <w:br/>
              <w:t xml:space="preserve">      node: { kind: EventNodeKind; text: string };</w:t>
              <w:br/>
              <w:t xml:space="preserve">      evidenceIds: string[]; confidence: number; reason: string }</w:t>
              <w:br/>
              <w:t xml:space="preserve">  | { op: 'update_node'; nodeId: string; patch: Record&lt;string, unknown&gt;;</w:t>
              <w:br/>
              <w:t xml:space="preserve">      evidenceIds: string[]; reason: string }</w:t>
              <w:br/>
              <w:t xml:space="preserve">  | { op: 'move_node'; nodeId: string; newParentId: string; reason: string }</w:t>
              <w:br/>
              <w:t xml:space="preserve">  | { op: 'link_entity'; nodeId: string;</w:t>
              <w:br/>
              <w:t xml:space="preserve">      entityType: 'commitment' | 'decision' | 'source'; entityId: string };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确定性校验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父节点和目标实体存在，并属于同一 workspace 与 Event。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移动或新增边不会形成环。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候选节点与现有节点不存在明显重复；疑似重复必须进入人工选择。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事实性 Decision 和 Commitment 至少关联一条有效 Evidence。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Waiting 节点包含 waitingOn 与 reviewAt。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目标实体版本未过期；过期时要求重新生成或重新确认。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用户双击接受时通过 idempotencyKey 保证只应用一次。</w:t>
      </w:r>
    </w:p>
    <w:p>
      <w:pPr>
        <w:pStyle w:val="Heading1"/>
        <w:keepNext/>
      </w:pPr>
      <w:r>
        <w:t>9. 状态与同步</w:t>
      </w:r>
    </w:p>
    <w:p>
      <w:pPr>
        <w:pStyle w:val="Heading2"/>
        <w:keepNext/>
      </w:pPr>
      <w:r>
        <w:t>9.1 Agent Run 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5"/>
          <w:left w:val="single" w:sz="4" w:space="0" w:color="D3DAE5"/>
          <w:bottom w:val="single" w:sz="4" w:space="0" w:color="D3DAE5"/>
          <w:right w:val="single" w:sz="4" w:space="0" w:color="D3DAE5"/>
          <w:insideH w:val="single" w:sz="4" w:space="0" w:color="D3DAE5"/>
          <w:insideV w:val="single" w:sz="4" w:space="0" w:color="D3DAE5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Noto Sans SC"/>
                <w:color w:val="24364B"/>
                <w:sz w:val="18"/>
              </w:rPr>
              <w:t>type AgentRunStatus =</w:t>
              <w:br/>
              <w:t xml:space="preserve">  | 'queued'</w:t>
              <w:br/>
              <w:t xml:space="preserve">  | 'running'</w:t>
              <w:br/>
              <w:t xml:space="preserve">  | 'waiting_review'</w:t>
              <w:br/>
              <w:t xml:space="preserve">  | 'applying'</w:t>
              <w:br/>
              <w:t xml:space="preserve">  | 'succeeded'</w:t>
              <w:br/>
              <w:t xml:space="preserve">  | 'failed'</w:t>
              <w:br/>
              <w:t xml:space="preserve">  | 'cancelled';</w:t>
            </w:r>
          </w:p>
        </w:tc>
      </w:tr>
    </w:tbl>
    <w:p>
      <w:pPr>
        <w:spacing w:after="0"/>
      </w:pPr>
    </w:p>
    <w:p>
      <w:r>
        <w:rPr>
          <w:rFonts w:ascii="Noto Sans SC" w:hAnsi="Noto Sans SC" w:eastAsia="Noto Sans SC"/>
          <w:sz w:val="22"/>
        </w:rPr>
        <w:t>每个阶段完成后保存 checkpoint。应用重启时，若发现 running 或 waiting_review 的 Run，显示恢复横幅，允许继续、查看 Proposal 或放弃。</w:t>
      </w:r>
    </w:p>
    <w:p>
      <w:pPr>
        <w:pStyle w:val="Heading2"/>
        <w:keepNext/>
      </w:pPr>
      <w:r>
        <w:t>9.2 Mindmap 与 Today 双向同步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5"/>
          <w:left w:val="single" w:sz="4" w:space="0" w:color="D3DAE5"/>
          <w:bottom w:val="single" w:sz="4" w:space="0" w:color="D3DAE5"/>
          <w:right w:val="single" w:sz="4" w:space="0" w:color="D3DAE5"/>
          <w:insideH w:val="single" w:sz="4" w:space="0" w:color="D3DAE5"/>
          <w:insideV w:val="single" w:sz="4" w:space="0" w:color="D3DAE5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Noto Sans SC"/>
                <w:color w:val="24364B"/>
                <w:sz w:val="18"/>
              </w:rPr>
              <w:t>Mindmap task 节点接受</w:t>
              <w:br/>
              <w:t xml:space="preserve">  → 创建/绑定 Commitment</w:t>
              <w:br/>
              <w:t xml:space="preserve">  → scheduledDate 满足条件时出现在 Today</w:t>
              <w:br/>
              <w:br/>
              <w:t>Today 完成行动</w:t>
              <w:br/>
              <w:t xml:space="preserve">  → 更新 Commitment</w:t>
              <w:br/>
              <w:t xml:space="preserve">  → Mindmap 节点同步显示完成</w:t>
              <w:br/>
              <w:br/>
              <w:t>所有 Commitment 完成且 Open Question 已处理</w:t>
              <w:br/>
              <w:t xml:space="preserve">  → AI 建议生成 Event Outcome 并关闭 Event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B61A8"/>
          <w:left w:val="single" w:sz="8" w:space="0" w:color="7B61A8"/>
          <w:bottom w:val="single" w:sz="8" w:space="0" w:color="7B61A8"/>
          <w:right w:val="single" w:sz="8" w:space="0" w:color="7B61A8"/>
          <w:insideH w:val="single" w:sz="8" w:space="0" w:color="7B61A8"/>
          <w:insideV w:val="single" w:sz="8" w:space="0" w:color="7B61A8"/>
        </w:tblBorders>
      </w:tblPr>
      <w:tblGrid>
        <w:gridCol w:w="9360"/>
      </w:tblGrid>
      <w:tr>
        <w:tc>
          <w:tcPr>
            <w:tcW w:type="dxa" w:w="9360"/>
            <w:shd w:fill="F4EE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SC" w:hAnsi="Noto Sans SC" w:eastAsia="Noto Sans SC"/>
                <w:b/>
                <w:color w:val="7B61A8"/>
                <w:sz w:val="22"/>
              </w:rPr>
              <w:t xml:space="preserve">数据原则  </w:t>
            </w:r>
            <w:r>
              <w:rPr>
                <w:rFonts w:ascii="Noto Sans SC" w:hAnsi="Noto Sans SC" w:eastAsia="Noto Sans SC"/>
                <w:color w:val="172B4D"/>
                <w:sz w:val="22"/>
              </w:rPr>
              <w:t>Commitment 是执行状态的唯一真相。Mindmap 节点只保存 commitmentId 引用；Today 是查询投影，禁止复制另一套完成状态。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前端交互与页面改造</w:t>
      </w:r>
    </w:p>
    <w:p>
      <w:pPr>
        <w:pStyle w:val="Heading2"/>
        <w:keepNext/>
      </w:pPr>
      <w:r>
        <w:t>10.1 EventCanvas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新增“AI 推进这个 Event”入口。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增加 Proposal Overlay：半透明节点、候选边、更新前后高亮。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节点详情面板显示类型、owner、due、confidence、reason 与 Evidence。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提供单项接受、修改、拒绝，以及“接受低风险修改”。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AI 建议期间允许正常缩放和浏览，但锁定受影响节点的结构编辑。</w:t>
      </w:r>
    </w:p>
    <w:p>
      <w:pPr>
        <w:pStyle w:val="Heading2"/>
        <w:keepNext/>
      </w:pPr>
      <w:r>
        <w:t>10.2 AgentRunPanel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展示当前阶段、已完成步骤、使用的数据和结构化结果。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不展示隐式思维过程，只展示工具、证据、验证与状态。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提供停止、重试、恢复和进入审阅。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失败必须说明是否写入数据、是否可重试以及下一步。</w:t>
      </w:r>
    </w:p>
    <w:p>
      <w:pPr>
        <w:pStyle w:val="Heading2"/>
        <w:keepNext/>
      </w:pPr>
      <w:r>
        <w:t>10.3 Note 入口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“AI 推进会议”先解析目标 Event。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已关联时跳转 EventCanvas 并开始 Run。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未关联时让用户选择现有 Event、创建 Event 或仅提取。</w:t>
      </w:r>
    </w:p>
    <w:p>
      <w:pPr>
        <w:pStyle w:val="Heading1"/>
        <w:keepNext/>
      </w:pPr>
      <w:r>
        <w:t>11. 建议代码结构与 API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5"/>
          <w:left w:val="single" w:sz="4" w:space="0" w:color="D3DAE5"/>
          <w:bottom w:val="single" w:sz="4" w:space="0" w:color="D3DAE5"/>
          <w:right w:val="single" w:sz="4" w:space="0" w:color="D3DAE5"/>
          <w:insideH w:val="single" w:sz="4" w:space="0" w:color="D3DAE5"/>
          <w:insideV w:val="single" w:sz="4" w:space="0" w:color="D3DAE5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Noto Sans SC"/>
                <w:color w:val="24364B"/>
                <w:sz w:val="18"/>
              </w:rPr>
              <w:t>server/services/harness/</w:t>
              <w:br/>
              <w:t>├── AgentRuntime.ts</w:t>
              <w:br/>
              <w:t>├── codexAppServerRuntime.ts</w:t>
              <w:br/>
              <w:t>├── runtimeEvents.ts</w:t>
              <w:br/>
              <w:t>├── runtimeStore.ts</w:t>
              <w:br/>
              <w:t>├── toolRegistry.ts</w:t>
              <w:br/>
              <w:t>└── tools/</w:t>
              <w:br/>
              <w:t xml:space="preserve">    ├── readEventGraph.ts</w:t>
              <w:br/>
              <w:t xml:space="preserve">    ├── readMeetingNote.ts</w:t>
              <w:br/>
              <w:t xml:space="preserve">    ├── searchMemory.ts</w:t>
              <w:br/>
              <w:t xml:space="preserve">    ├── listCommitments.ts</w:t>
              <w:br/>
              <w:t xml:space="preserve">    ├── proposeGraphPatch.ts</w:t>
              <w:br/>
              <w:t xml:space="preserve">    └── validateGraphPatch.ts</w:t>
              <w:br/>
              <w:br/>
              <w:t>server/services/v2/agents/</w:t>
              <w:br/>
              <w:t>├── eventOperatorAgent.ts</w:t>
              <w:br/>
              <w:t>├── eventOperatorPrompt.ts</w:t>
              <w:br/>
              <w:t>├── eventOperatorSchemas.ts</w:t>
              <w:br/>
              <w:t>└── eventOperatorVerifier.ts</w:t>
              <w:br/>
              <w:br/>
              <w:t>src/features/v2/agents/</w:t>
              <w:br/>
              <w:t>├── AgentRunPanel.tsx</w:t>
              <w:br/>
              <w:t>├── AgentRunTimeline.tsx</w:t>
              <w:br/>
              <w:t>├── EventGraphProposalOverlay.tsx</w:t>
              <w:br/>
              <w:t>├── EventGraphProposalReview.tsx</w:t>
              <w:br/>
              <w:t>└── AgentRunRecoveryBanner.tsx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API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5"/>
          <w:left w:val="single" w:sz="4" w:space="0" w:color="D3DAE5"/>
          <w:bottom w:val="single" w:sz="4" w:space="0" w:color="D3DAE5"/>
          <w:right w:val="single" w:sz="4" w:space="0" w:color="D3DAE5"/>
          <w:insideH w:val="single" w:sz="4" w:space="0" w:color="D3DAE5"/>
          <w:insideV w:val="single" w:sz="4" w:space="0" w:color="D3DAE5"/>
        </w:tblBorders>
      </w:tblPr>
      <w:tblGrid>
        <w:gridCol w:w="9360"/>
      </w:tblGrid>
      <w:tr>
        <w:tc>
          <w:tcPr>
            <w:tcW w:type="dxa" w:w="9360"/>
            <w:shd w:fill="F7F9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Noto Sans SC"/>
                <w:color w:val="24364B"/>
                <w:sz w:val="18"/>
              </w:rPr>
              <w:t>POST /api/v2/events/:eventId/agent-runs</w:t>
              <w:br/>
              <w:t>GET  /api/v2/agent-runs/:id</w:t>
              <w:br/>
              <w:t>GET  /api/v2/agent-runs/:id/events</w:t>
              <w:br/>
              <w:t>POST /api/v2/agent-runs/:id/cancel</w:t>
              <w:br/>
              <w:t>POST /api/v2/agent-runs/:id/retry</w:t>
              <w:br/>
              <w:t>POST /api/v2/agent-runs/:id/apply</w:t>
              <w:br/>
              <w:t>POST /api/v2/agent-runs/:id/reject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两周实施计划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8"/>
          <w:left w:val="single" w:sz="6" w:space="0" w:color="D9E0E8"/>
          <w:bottom w:val="single" w:sz="6" w:space="0" w:color="D9E0E8"/>
          <w:right w:val="single" w:sz="6" w:space="0" w:color="D9E0E8"/>
          <w:insideH w:val="single" w:sz="6" w:space="0" w:color="D9E0E8"/>
          <w:insideV w:val="single" w:sz="6" w:space="0" w:color="D9E0E8"/>
        </w:tblBorders>
      </w:tblPr>
      <w:tblGrid>
        <w:gridCol w:w="1380"/>
        <w:gridCol w:w="3000"/>
        <w:gridCol w:w="4980"/>
      </w:tblGrid>
      <w:tr>
        <w:trPr>
          <w:tblHeader/>
        </w:trPr>
        <w:tc>
          <w:tcPr>
            <w:tcW w:type="dxa" w:w="138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172B4D"/>
                <w:sz w:val="20"/>
              </w:rPr>
              <w:t>时间</w:t>
            </w:r>
          </w:p>
        </w:tc>
        <w:tc>
          <w:tcPr>
            <w:tcW w:type="dxa" w:w="30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172B4D"/>
                <w:sz w:val="20"/>
              </w:rPr>
              <w:t>目标</w:t>
            </w:r>
          </w:p>
        </w:tc>
        <w:tc>
          <w:tcPr>
            <w:tcW w:type="dxa" w:w="498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172B4D"/>
                <w:sz w:val="20"/>
              </w:rPr>
              <w:t>交付物</w:t>
            </w:r>
          </w:p>
        </w:tc>
      </w:tr>
      <w:tr>
        <w:tc>
          <w:tcPr>
            <w:tcW w:type="dxa" w:w="1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第 1–2 天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Codex App Server Spike</w:t>
            </w:r>
          </w:p>
        </w:tc>
        <w:tc>
          <w:tcPr>
            <w:tcW w:type="dxa" w:w="4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启动子进程；创建 thread/turn；接收 streaming event；记录错误。</w:t>
            </w:r>
          </w:p>
        </w:tc>
      </w:tr>
      <w:tr>
        <w:tc>
          <w:tcPr>
            <w:tcW w:type="dxa" w:w="1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第 3 天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Runtime 与状态机</w:t>
            </w:r>
          </w:p>
        </w:tc>
        <w:tc>
          <w:tcPr>
            <w:tcW w:type="dxa" w:w="4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AgentRuntime、Run 存储、cancel、checkpoint、SSE。</w:t>
            </w:r>
          </w:p>
        </w:tc>
      </w:tr>
      <w:tr>
        <w:tc>
          <w:tcPr>
            <w:tcW w:type="dxa" w:w="1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第 4 天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只读工具</w:t>
            </w:r>
          </w:p>
        </w:tc>
        <w:tc>
          <w:tcPr>
            <w:tcW w:type="dxa" w:w="4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read_event_graph、read_note、search_memory、list_commitments。</w:t>
            </w:r>
          </w:p>
        </w:tc>
      </w:tr>
      <w:tr>
        <w:tc>
          <w:tcPr>
            <w:tcW w:type="dxa" w:w="1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第 5 天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Graph Patch</w:t>
            </w:r>
          </w:p>
        </w:tc>
        <w:tc>
          <w:tcPr>
            <w:tcW w:type="dxa" w:w="4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Schema、验证器、真实 Proposal；确认前零业务写入。</w:t>
            </w:r>
          </w:p>
        </w:tc>
      </w:tr>
      <w:tr>
        <w:tc>
          <w:tcPr>
            <w:tcW w:type="dxa" w:w="1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第 6–7 天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画布预览</w:t>
            </w:r>
          </w:p>
        </w:tc>
        <w:tc>
          <w:tcPr>
            <w:tcW w:type="dxa" w:w="4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半透明节点、候选边、节点详情、单项审阅。</w:t>
            </w:r>
          </w:p>
        </w:tc>
      </w:tr>
      <w:tr>
        <w:tc>
          <w:tcPr>
            <w:tcW w:type="dxa" w:w="1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第 8 天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实体落地</w:t>
            </w:r>
          </w:p>
        </w:tc>
        <w:tc>
          <w:tcPr>
            <w:tcW w:type="dxa" w:w="4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task/waiting 节点与 Commitment 绑定；Decision/Evidence 写入。</w:t>
            </w:r>
          </w:p>
        </w:tc>
      </w:tr>
      <w:tr>
        <w:tc>
          <w:tcPr>
            <w:tcW w:type="dxa" w:w="1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第 9 天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Today 同步与恢复</w:t>
            </w:r>
          </w:p>
        </w:tc>
        <w:tc>
          <w:tcPr>
            <w:tcW w:type="dxa" w:w="4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双向状态同步、重启恢复、retryable error。</w:t>
            </w:r>
          </w:p>
        </w:tc>
      </w:tr>
      <w:tr>
        <w:tc>
          <w:tcPr>
            <w:tcW w:type="dxa" w:w="1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第 10 天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真实样本验收</w:t>
            </w:r>
          </w:p>
        </w:tc>
        <w:tc>
          <w:tcPr>
            <w:tcW w:type="dxa" w:w="4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SC" w:hAnsi="Noto Sans SC" w:eastAsia="Noto Sans SC"/>
                <w:color w:val="222222"/>
                <w:sz w:val="19"/>
              </w:rPr>
              <w:t>10 个 Event/会议样本；成本、时延、成功率与兼容性报告。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发布验收门槛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10 个真实 Event 样本中，至少 8 个成功生成可审阅 Graph Proposal。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用户确认前，Mindmap、Commitment、Today 和外部系统正式数据零变化。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事实性 Decision 不得在缺少 Evidence 时被标记为已确认事实。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task/waiting 节点接受后能正确创建或绑定 Commitment。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Today 完成行动后，Mindmap 对应节点状态正确同步。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双击确认不重复创建；过期版本不被静默覆盖。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Run 可停止、可恢复；停止后不再继续调用业务工具。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任意失败都显示可理解错误、写入状态和可重试性。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单次常规会议/Event 处理目标时间不超过 2 分钟。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单次运行记录 provider、model、耗时、工具次数和可计算成本。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外部消息发送次数为 0，外部日历写入次数为 0。</w:t>
      </w:r>
    </w:p>
    <w:p>
      <w:pPr>
        <w:pStyle w:val="Heading1"/>
        <w:keepNext/>
      </w:pPr>
      <w:r>
        <w:t>14. Codex 退出条件与替代方案</w:t>
      </w:r>
    </w:p>
    <w:p>
      <w:r>
        <w:rPr>
          <w:rFonts w:ascii="Noto Sans SC" w:hAnsi="Noto Sans SC" w:eastAsia="Noto Sans SC"/>
          <w:sz w:val="22"/>
        </w:rPr>
        <w:t>若下列条件中任意两项在两周 Spike 后仍无法解决，则停止把 Codex App Server 作为默认 Runtime，保留 AgentRuntime 和业务工具，转向 Deep Agents/LangGraph 对照实现：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DeepSeek、Ollama 或 DailyFlow 已支持 Provider 无法以可接受方式接入。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Tauri 打包后的进程启动、退出或升级不稳定。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App Server 协议变化导致维护成本不可控。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无法可靠恢复中断任务或处理审批暂停。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单次 Event 处理成本或时延明显超出产品目标。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难以把能力限制在 DailyFlow 语义工具，持续倾向任意文件或 Shell 操作。</w:t>
      </w:r>
    </w:p>
    <w:p>
      <w:pPr>
        <w:pStyle w:val="Heading1"/>
        <w:keepNext/>
      </w:pPr>
      <w:r>
        <w:t>15. 本版本明确不做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不自研一个可对外销售的通用 Agent Harness。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不同时适配五种 Runtime。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不做多 Agent 团队和 Agent Marketplace 扩张。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不让 AI 自动删除分支或大规模重排整个 Mindmap。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不让 AI 自动发送邮件或修改外部日历。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不在每个页面增加独立“Ask AI”。</w:t>
      </w:r>
    </w:p>
    <w:p>
      <w:pPr>
        <w:spacing w:after="120" w:line="280" w:lineRule="auto"/>
        <w:numPr>
          <w:ilvl w:val="0"/>
          <w:numId w:val="100"/>
        </w:numPr>
      </w:pPr>
      <w:r>
        <w:rPr>
          <w:rFonts w:ascii="Noto Sans SC" w:hAnsi="Noto Sans SC" w:eastAsia="Noto Sans SC"/>
          <w:sz w:val="22"/>
        </w:rPr>
        <w:t>不让会议、Mindmap、Task 形成三套互相镜像的数据。</w:t>
      </w:r>
    </w:p>
    <w:p>
      <w:pPr>
        <w:pStyle w:val="Heading1"/>
        <w:keepNext/>
      </w:pPr>
      <w:r>
        <w:t>16. 最终产品口径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shd w:fill="EAF3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SC" w:hAnsi="Noto Sans SC" w:eastAsia="Noto Sans SC"/>
                <w:b/>
                <w:color w:val="2E74B5"/>
                <w:sz w:val="22"/>
              </w:rPr>
              <w:t xml:space="preserve">对内  </w:t>
            </w:r>
            <w:r>
              <w:rPr>
                <w:rFonts w:ascii="Noto Sans SC" w:hAnsi="Noto Sans SC" w:eastAsia="Noto Sans SC"/>
                <w:color w:val="172B4D"/>
                <w:sz w:val="22"/>
              </w:rPr>
              <w:t>接入开放 Harness，构建 DailyFlow 的领域控制平面。底层 Runtime 可替换，Event、Evidence、Commitment 和用户工作记忆不可替换。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B61A8"/>
          <w:left w:val="single" w:sz="8" w:space="0" w:color="7B61A8"/>
          <w:bottom w:val="single" w:sz="8" w:space="0" w:color="7B61A8"/>
          <w:right w:val="single" w:sz="8" w:space="0" w:color="7B61A8"/>
          <w:insideH w:val="single" w:sz="8" w:space="0" w:color="7B61A8"/>
          <w:insideV w:val="single" w:sz="8" w:space="0" w:color="7B61A8"/>
        </w:tblBorders>
      </w:tblPr>
      <w:tblGrid>
        <w:gridCol w:w="9360"/>
      </w:tblGrid>
      <w:tr>
        <w:tc>
          <w:tcPr>
            <w:tcW w:type="dxa" w:w="9360"/>
            <w:shd w:fill="F4EE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SC" w:hAnsi="Noto Sans SC" w:eastAsia="Noto Sans SC"/>
                <w:b/>
                <w:color w:val="7B61A8"/>
                <w:sz w:val="22"/>
              </w:rPr>
              <w:t xml:space="preserve">对外  </w:t>
            </w:r>
            <w:r>
              <w:rPr>
                <w:rFonts w:ascii="Noto Sans SC" w:hAnsi="Noto Sans SC" w:eastAsia="Noto Sans SC"/>
                <w:color w:val="172B4D"/>
                <w:sz w:val="22"/>
              </w:rPr>
              <w:t>DailyFlow 是一个以 Mindmap 为工作现场的本地 AI Chief of Staff：它理解不断进入 Event 的会议与笔记，提出可审阅的结构变化，并把真实承诺持续推进到闭环。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A：参考与现有代码落点</w:t>
      </w:r>
    </w:p>
    <w:p>
      <w:r>
        <w:rPr>
          <w:rFonts w:ascii="Noto Sans SC" w:hAnsi="Noto Sans SC" w:eastAsia="Noto Sans SC"/>
          <w:b/>
          <w:color w:val="172B4D"/>
          <w:sz w:val="22"/>
        </w:rPr>
        <w:t>现有 EventCanvas：</w:t>
      </w:r>
      <w:r>
        <w:rPr>
          <w:rFonts w:ascii="Noto Sans SC" w:hAnsi="Noto Sans SC" w:eastAsia="Noto Sans SC"/>
          <w:sz w:val="22"/>
        </w:rPr>
        <w:t>src/features/v2/events/EventCanvas.tsx</w:t>
      </w:r>
    </w:p>
    <w:p>
      <w:r>
        <w:rPr>
          <w:rFonts w:ascii="Noto Sans SC" w:hAnsi="Noto Sans SC" w:eastAsia="Noto Sans SC"/>
          <w:b/>
          <w:color w:val="172B4D"/>
          <w:sz w:val="22"/>
        </w:rPr>
        <w:t>现有 Mindmap 布局：</w:t>
      </w:r>
      <w:r>
        <w:rPr>
          <w:rFonts w:ascii="Noto Sans SC" w:hAnsi="Noto Sans SC" w:eastAsia="Noto Sans SC"/>
          <w:sz w:val="22"/>
        </w:rPr>
        <w:t>src/components/MindMap/layout.ts</w:t>
      </w:r>
    </w:p>
    <w:p>
      <w:r>
        <w:rPr>
          <w:rFonts w:ascii="Noto Sans SC" w:hAnsi="Noto Sans SC" w:eastAsia="Noto Sans SC"/>
          <w:b/>
          <w:color w:val="172B4D"/>
          <w:sz w:val="22"/>
        </w:rPr>
        <w:t>现有 Agent 空运行上下文：</w:t>
      </w:r>
      <w:r>
        <w:rPr>
          <w:rFonts w:ascii="Noto Sans SC" w:hAnsi="Noto Sans SC" w:eastAsia="Noto Sans SC"/>
          <w:sz w:val="22"/>
        </w:rPr>
        <w:t>server/services/v2/agentService.ts</w:t>
      </w:r>
    </w:p>
    <w:p>
      <w:r>
        <w:rPr>
          <w:rFonts w:ascii="Noto Sans SC" w:hAnsi="Noto Sans SC" w:eastAsia="Noto Sans SC"/>
          <w:b/>
          <w:color w:val="172B4D"/>
          <w:sz w:val="22"/>
        </w:rPr>
        <w:t>现有 Job 状态机：</w:t>
      </w:r>
      <w:r>
        <w:rPr>
          <w:rFonts w:ascii="Noto Sans SC" w:hAnsi="Noto Sans SC" w:eastAsia="Noto Sans SC"/>
          <w:sz w:val="22"/>
        </w:rPr>
        <w:t>server/domain/v2/jobs.ts</w:t>
      </w:r>
    </w:p>
    <w:p>
      <w:r>
        <w:rPr>
          <w:rFonts w:ascii="Noto Sans SC" w:hAnsi="Noto Sans SC" w:eastAsia="Noto Sans SC"/>
          <w:b/>
          <w:color w:val="172B4D"/>
          <w:sz w:val="22"/>
        </w:rPr>
        <w:t>现有 Proposal 应用与幂等：</w:t>
      </w:r>
      <w:r>
        <w:rPr>
          <w:rFonts w:ascii="Noto Sans SC" w:hAnsi="Noto Sans SC" w:eastAsia="Noto Sans SC"/>
          <w:sz w:val="22"/>
        </w:rPr>
        <w:t>server/services/v2/proposalService.ts</w:t>
      </w:r>
    </w:p>
    <w:p>
      <w:r>
        <w:rPr>
          <w:rFonts w:ascii="Noto Sans SC" w:hAnsi="Noto Sans SC" w:eastAsia="Noto Sans SC"/>
          <w:b/>
          <w:color w:val="172B4D"/>
          <w:sz w:val="22"/>
        </w:rPr>
        <w:t>现有追加审计：</w:t>
      </w:r>
      <w:r>
        <w:rPr>
          <w:rFonts w:ascii="Noto Sans SC" w:hAnsi="Noto Sans SC" w:eastAsia="Noto Sans SC"/>
          <w:sz w:val="22"/>
        </w:rPr>
        <w:t>server/repositories/v2/audit.ts</w:t>
      </w:r>
    </w:p>
    <w:p>
      <w:pPr>
        <w:spacing w:before="120"/>
      </w:pPr>
      <w:r>
        <w:rPr>
          <w:rFonts w:ascii="Noto Sans SC" w:hAnsi="Noto Sans SC" w:eastAsia="Noto Sans SC"/>
          <w:b/>
          <w:color w:val="172B4D"/>
          <w:sz w:val="22"/>
        </w:rPr>
        <w:t>外部参考：</w:t>
      </w:r>
      <w:hyperlink r:id="rId13">
        <w:r>
          <w:rPr>
            <w:color w:val="2E74B5"/>
            <w:u w:val="single"/>
          </w:rPr>
          <w:t>Codex as a platform: build on the open agent harness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/>
        <w:color w:val="65758B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Noto Sans SC" w:hAnsi="Noto Sans SC" w:eastAsia="Noto Sans SC"/>
        <w:color w:val="6575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/>
        <w:color w:val="65758B"/>
        <w:sz w:val="17"/>
      </w:rPr>
      <w:t>DAILYFLOW 2.2 · PRODUCT &amp; ENGINEERING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abstractNum w:abstractNumId="10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SC" w:hAnsi="Noto Sans SC" w:eastAsia="Noto Sans S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learn.chatgpt.com/blog/codex-as-a-plat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DailyFlow 2.2 AI Event Operator 实施计划</dc:title>
  <dc:subject>Mindmap、Event 与开放 Agent Harness 的统一产品和技术计划</dc:subject>
  <dc:creator>DailyFlow</dc:creator>
  <cp:keywords>DailyFlow, AI Event Operator, Mindmap, Event, Codex App Server, Agent Harness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