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示例品牌 北美增长研究整体大纲</w:t>
      </w:r>
    </w:p>
    <w:p>
      <w:r>
        <w:t>定性探索与定量验证方案</w:t>
      </w:r>
    </w:p>
    <w:p>
      <w:r>
        <w:t>案例版本 1.0　2026 年 9 月 9 日　研究设计评审稿</w:t>
      </w:r>
    </w:p>
    <w:p>
      <w:r>
        <w:t>本项目拟帮助 示例品牌 判断北美增长应优先争取哪些消费者与消费场景，以及商品、IP、品牌表达和零售体验应如何配合。建议采用业务访谈与案头研究、定性探索、定量验证、策略整合四个阶段。每一阶段明确输入、研究问题、分析和决策用途。</w:t>
      </w:r>
    </w:p>
    <w:p>
      <w:r>
        <w:t>本稿按美国、加拿大、墨西哥三国设计，属于供讨论的业务范围假设；并不把三国等同于北美全部地区。所有样本数、城市、时长、排期和方案配置均为设计建议，尚非已确认的供应商承诺。研究尚未执行，文中不提供人群占比、偏好排名或增长预测等调查结论。</w:t>
      </w:r>
    </w:p>
    <w:p>
      <w:pPr>
        <w:pStyle w:val="Heading1"/>
      </w:pPr>
      <w:r>
        <w:t>一 项目定位与设计依据</w:t>
      </w:r>
    </w:p>
    <w:p>
      <w:pPr>
        <w:pStyle w:val="Heading2"/>
      </w:pPr>
      <w:r>
        <w:t>业务目标</w:t>
      </w:r>
    </w:p>
    <w:p>
      <w:r>
        <w:t>在各国现有业务基础和可进入的消费场景中，识别值得优先投入的增长机会，回答六项决策：市场和城市群如何排序、优先服务什么人、怎样表达品牌价值、商品与 IP 如何组合、怎样改善购买转化与复购、下一阶段应验证什么。</w:t>
      </w:r>
    </w:p>
    <w:p>
      <w:r>
        <w:t>本稿暂以未来 12 至 24 个月的增长规划为应用期。正式启动时，以企业实际决策窗口、可调整的经营杠杆和已投入资源校准。研究建议不替代选址财务测算、供应链评估或具体 IP 授权谈判。</w:t>
      </w:r>
    </w:p>
    <w:p>
      <w:pPr>
        <w:pStyle w:val="Heading2"/>
      </w:pPr>
      <w:r>
        <w:t>示例背景与用途</w:t>
      </w:r>
    </w:p>
    <w:p>
      <w:r>
        <w:t>本案例设定一个虚构的生活方式零售品牌，希望比较美国、加拿大和墨西哥的增长选择。样本、预算数量、主张与业务情境均为研究设计假设，不是该品牌的实际经营资料或调查结论。案例展示从问题设计到问卷和码表的交接。</w:t>
      </w:r>
    </w:p>
    <w:p>
      <w:r>
        <w:t>这里保留通用研究设计方法，删除真实公司、历史项目名称、内部资料索引与相关事实。国家范围可在实际项目中重新确定，执行前需要当地供应商验证。</w:t>
      </w:r>
    </w:p>
    <w:p>
      <w:pPr>
        <w:pStyle w:val="Heading2"/>
      </w:pPr>
      <w:r>
        <w:t>本版关键设计假设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本版建议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启动时的核对内容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地域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美国、加拿大、墨西哥分别设计和报告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国家优先级、业务阶段、门店覆盖、是否需增减市场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人群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当地常住、18 岁及以上的相关品类消费者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具体品类、排除行业、居住时长、是否另研未成年人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决策窗口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未来 12 至 24 个月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企业经营规划和产品/IP 上新节奏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定量基础样本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2,400 份有效访问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实际发生率、关键分组基数、国家与预算优先级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品牌用户加样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每国最多补充 200 份，共最多 600 份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基础样本中最近购买者数量、样本来源与去重条件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整体周期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正式启动后约 12 周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招募、门店许可、语言、刺激物、客户审阅窗口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成本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先列数量与计费项目，暂不填写未经确认的单价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各国供应商正式报价和发生率试招结果</w:t>
            </w:r>
          </w:p>
        </w:tc>
      </w:tr>
    </w:tbl>
    <w:p>
      <w:pPr>
        <w:spacing w:after="40" w:before="0" w:line="96" w:lineRule="auto"/>
      </w:pPr>
    </w:p>
    <w:p>
      <w:pPr>
        <w:pStyle w:val="Heading1"/>
      </w:pPr>
      <w:r>
        <w:t>二 研究范围与总体定义</w:t>
      </w:r>
    </w:p>
    <w:p>
      <w:pPr>
        <w:pStyle w:val="Heading2"/>
      </w:pPr>
      <w:r>
        <w:t>品类与消费场景</w:t>
      </w:r>
    </w:p>
    <w:p>
      <w:r>
        <w:t>采用与业务实际商品组合一致的品类清单，初步覆盖生活小物、文具与配饰、小型礼品、毛绒及收藏玩具、适合纳入的个人护理配件等。正式清单由商品团队确认，避免将整个食品、化妆品或家电市场一并纳入，导致竞争边界失焦。</w:t>
      </w:r>
    </w:p>
    <w:p>
      <w:r>
        <w:t>消费者资格暂定为过去 6 个月曾购买至少一个入选品类，且参与购买决定。记录自用、赠礼、为家庭成员购买与收藏等用途。市场基础样本不以认识或买过 示例品牌 为门槛，也不以喜欢 IP、二次元或社交媒体活跃为门槛。</w:t>
      </w:r>
    </w:p>
    <w:p>
      <w:r>
        <w:t>这个总体能解释相关品类消费者中的品牌选择和需求，不能直接估计所有成年人中的品类发生率。若经营决策需要测量非消费者转入的规模，应增加独立、未按品类购买筛选的成人筛查样本；其发生率需单独设计，不从本次面板入组比例推算。</w:t>
      </w:r>
    </w:p>
    <w:p>
      <w:pPr>
        <w:pStyle w:val="Heading2"/>
      </w:pPr>
      <w:r>
        <w:t>地域与语言</w:t>
      </w:r>
    </w:p>
    <w:p>
      <w:r>
        <w:t>三国定量分别建样本与报告。美国覆盖不同区域和城市层级；加拿大覆盖主要语言与区域；墨西哥覆盖不同大区和城市层级。计划使用美国英语和按需要配置的西语、加拿大英语与法语、墨西哥西语。是否能达到各地语言与区域覆盖，要由供应商书面说明。</w:t>
      </w:r>
    </w:p>
    <w:p>
      <w:r>
        <w:t>定性优先在每国两个具有不同商业环境的城市实施：美国暂选纽约都会区和洛杉矶都会区，加拿大暂选多伦多和蒙特利尔，墨西哥暂选墨西哥城和蒙特雷。以上是待核对的招募地点，需检查门店可达性、语言覆盖与招募成本；定性城市选择不构成全国代表性。</w:t>
      </w:r>
    </w:p>
    <w:p>
      <w:r>
        <w:t>三国结果分别用本币、统一回溯期和明确的税费口径呈现。跨国比较先看各国相对位置和行为机制；只有币种、税费、品类、基数和时间对齐后才做价格比较。没有合法的共同权重时，不发布一个加总的“北美消费者比例”。</w:t>
      </w:r>
    </w:p>
    <w:p>
      <w:pPr>
        <w:pStyle w:val="Heading1"/>
      </w:pPr>
      <w:r>
        <w:t>三 商业决策与研究问题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1679"/>
        <w:gridCol w:w="2964"/>
        <w:gridCol w:w="2568"/>
        <w:gridCol w:w="2667"/>
      </w:tblGrid>
      <w:tr>
        <w:trPr>
          <w:cantSplit/>
          <w:tblHeader/>
        </w:trPr>
        <w:tc>
          <w:tcPr>
            <w:tcW w:type="dxa" w:w="1679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决策</w:t>
            </w:r>
          </w:p>
        </w:tc>
        <w:tc>
          <w:tcPr>
            <w:tcW w:type="dxa" w:w="296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核心研究问题</w:t>
            </w:r>
          </w:p>
        </w:tc>
        <w:tc>
          <w:tcPr>
            <w:tcW w:type="dxa" w:w="256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主要方法</w:t>
            </w:r>
          </w:p>
        </w:tc>
        <w:tc>
          <w:tcPr>
            <w:tcW w:type="dxa" w:w="2667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交付及行动用途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D01 市场优先级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哪些市场的需求、品牌接受与业务可达性更匹配？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案头、内部资料、分国定量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国家机会矩阵；明确需要进一步商业测算的市场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D02 目标人群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哪类人群与场景有需求、可识别且有可行触达路径？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定性探索、需求量表、定量细分或画像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人群与场景地图；选择优先人群及排除理由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D03 品牌定位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消费者如何理解 示例品牌？哪些价值主张有吸引力且可信？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自发品牌联想、定性追问、品牌漏斗、主张测试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定位方向与证据；明确品牌承诺和信任障碍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D04 商品与 IP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实用、自我奖励、赠礼和收藏需求如何转为商品组合？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最近购买复盘、IP 机制探索、偏好与方案比较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商品/IP 场景组合建议；区分引流、转化与复购任务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D05 渠道与体验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认知、入店、购买、复购在哪个环节受阻？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陪访、消费者旅程、分基数漏斗与体验测量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渠道和门店改善清单；区分未触达与体验不佳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D06 验证与衡量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哪些建议已有证据，哪些还需试点？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混合方法整合、业务工作坊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优先行动、验证设计和追踪指标；不预估未经测量的收益</w:t>
            </w:r>
          </w:p>
        </w:tc>
      </w:tr>
    </w:tbl>
    <w:p>
      <w:pPr>
        <w:spacing w:after="40" w:before="0" w:line="96" w:lineRule="auto"/>
      </w:pPr>
    </w:p>
    <w:p>
      <w:r>
        <w:t>每一项研究输出应说明“若发现不同，会如何改变建议”。例如，低购买考虑可能来自未认知、门店不可达、商品不匹配或品牌不可信；对应的动作分别可能是触达、渠道、选品或品牌表达，不能一律归为加大传播。</w:t>
      </w:r>
    </w:p>
    <w:p>
      <w:pPr>
        <w:pStyle w:val="Heading1"/>
      </w:pPr>
      <w:r>
        <w:t>四 待验证假设与反证设计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1679"/>
        <w:gridCol w:w="2964"/>
        <w:gridCol w:w="2568"/>
        <w:gridCol w:w="2667"/>
      </w:tblGrid>
      <w:tr>
        <w:trPr>
          <w:cantSplit/>
          <w:tblHeader/>
        </w:trPr>
        <w:tc>
          <w:tcPr>
            <w:tcW w:type="dxa" w:w="1679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假设</w:t>
            </w:r>
          </w:p>
        </w:tc>
        <w:tc>
          <w:tcPr>
            <w:tcW w:type="dxa" w:w="296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定性需要理解什么</w:t>
            </w:r>
          </w:p>
        </w:tc>
        <w:tc>
          <w:tcPr>
            <w:tcW w:type="dxa" w:w="256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定量如何检验</w:t>
            </w:r>
          </w:p>
        </w:tc>
        <w:tc>
          <w:tcPr>
            <w:tcW w:type="dxa" w:w="2667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会改变判断的反证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H01 低负担的自我奖励构成增长场景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最近一次为自己购买的触发点、预算与替代选择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自用/奖励场景、频率、支出、主张反应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购买主要由实用替换驱动，情绪表达没有额外解释力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H02 IP 能带来增量兴趣，但不同人群的作用不同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IP 对收藏、赠礼、身份表达与质量判断的作用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IP 参与程度、人群差异、方案比较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IP 只吸引已有重度爱好者，未改善更广泛消费者选择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H03 赠礼是区别于收藏的机会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收礼人、送礼关系、包装、价格与送礼风险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赠礼场景、受众关系、可接受价值与障碍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消费者认为产品不够体面或不适合收礼人，且方案无法改善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H04 转化不足可能来自可达性与确定性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找店、找商品、缺货、价格与购物便利的真实过程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按可达性区分漏斗、最近未买原因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排除可达性后，主要障碍仍是商品质量或品牌定位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H05 各国存在共通需求，也有本地适配要求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当地语言、文化、生活与赠礼情境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共同量表、国家模块和可比性检查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同名构念含义不同，或国家差异被样本结构解释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H06 复购与推荐需要良好体验支撑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满意但不推荐、喜欢但不复购等反常案例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最近购买者的 NPS、体验、复购意向与实际购买记录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推荐意愿与复购条件分离，单一 NPS 不足以指导经营</w:t>
            </w:r>
          </w:p>
        </w:tc>
      </w:tr>
    </w:tbl>
    <w:p>
      <w:pPr>
        <w:spacing w:after="40" w:before="0" w:line="96" w:lineRule="auto"/>
      </w:pPr>
    </w:p>
    <w:p>
      <w:r>
        <w:t>上述假设用于研究设计，并非消费者结论。定性阶段允许修改或撤销假设；进入定量前冻结需要验证的构念、对比和主要指标，并保留变更理由。</w:t>
      </w:r>
    </w:p>
    <w:p>
      <w:pPr>
        <w:pStyle w:val="Heading1"/>
      </w:pPr>
      <w:r>
        <w:t>五 整体研究路径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1679"/>
        <w:gridCol w:w="2964"/>
        <w:gridCol w:w="2568"/>
        <w:gridCol w:w="2667"/>
      </w:tblGrid>
      <w:tr>
        <w:trPr>
          <w:cantSplit/>
          <w:tblHeader/>
        </w:trPr>
        <w:tc>
          <w:tcPr>
            <w:tcW w:type="dxa" w:w="1679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296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type="dxa" w:w="256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阶段输出</w:t>
            </w:r>
          </w:p>
        </w:tc>
        <w:tc>
          <w:tcPr>
            <w:tcW w:type="dxa" w:w="2667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1 业务理解与案头研究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内部访谈、业务资料梳理、国家与竞争资料核对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范围说明、决策矩阵、证据与缺口清单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客户确认研究目标、总体和可调整的经营杠杆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2 定性探索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深访、陪访、必要的行业访谈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场景与旅程、需求语言、人群假设、反例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解释关键需求及分歧，形成可测量的假设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3 定量设计与验证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问卷/刺激物、语言复核、认知测试、试访、正式访问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同版问卷与码表、干净数据、分国分析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测量与编程可用，关键分组达到约定分析要求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4 整合与策略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交叉验证、机会排序、业务研讨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总报告、国家行动页、试点及追踪建议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每项建议可回到证据、假设与实施条件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业务访谈与资料请求</w:t>
      </w:r>
    </w:p>
    <w:p>
      <w:r>
        <w:t>建议进行 8 场内部访谈，每场 45 至 60 分钟，按职责覆盖总部品牌与战略、商品/IP、北美业务、国家运营、门店/渠道、消费者或会员数据。此处为职责覆盖建议，不假设具体人员已经同意参加。</w:t>
      </w:r>
    </w:p>
    <w:p>
      <w:r>
        <w:t>访谈重点包括经营目标、过去已尝试的动作、品类与 IP 取舍、店型与渠道限制、可用数据、关键争议和决策时间。输出共识与分歧，避免把业务团队现有判断直接当成消费者事实。</w:t>
      </w:r>
    </w:p>
    <w:p>
      <w:r>
        <w:t>请求资料优先为国家/城市门店和渠道清单、品类与 SKU 架构、可分享的价格与促销机制、汇总后的销售和复购指标、历史研究及可用会员分析。仅申请支持研究设计所需的最少数据，不把客户明细带入公开材料或模型评测。</w:t>
      </w:r>
    </w:p>
    <w:p>
      <w:pPr>
        <w:pStyle w:val="Heading2"/>
      </w:pPr>
      <w:r>
        <w:t>案头研究范围</w:t>
      </w:r>
    </w:p>
    <w:p>
      <w:r>
        <w:t>按国建立市场、消费者场景、竞争零售形态、品类/IP、渠道与门店环境五张问题清单。竞争对象按实际替代关系确定，包括平价生活方式零售、IP/收藏玩具、礼品渠道和大众零售替代渠道；候选品牌须核实当地经营与消费者相关性后再入选。</w:t>
      </w:r>
    </w:p>
    <w:p>
      <w:r>
        <w:t>每个主要判断记录来源日期、地域、口径和证据等级。品牌自述可证明其公开提供的服务或主张，不能单独证明消费者喜爱或经营成效。历史数据无法更新时保留缺口，不用不同口径数字拼出增长结论。</w:t>
      </w:r>
    </w:p>
    <w:p>
      <w:r>
        <w:t>阶段交付为三国背景简报、竞争对象筛选表、资料缺口、6 至 10 个优先研究问题以及初版访谈/问卷测量方向。桌面检索以能否改变后续设计为停止条件，避免无限扩展市场报告。</w:t>
      </w:r>
    </w:p>
    <w:p>
      <w:pPr>
        <w:pStyle w:val="Heading1"/>
      </w:pPr>
      <w:r>
        <w:t>六 定性研究设计</w:t>
      </w:r>
    </w:p>
    <w:p>
      <w:pPr>
        <w:pStyle w:val="Heading2"/>
      </w:pPr>
      <w:r>
        <w:t>研究目标与方法选择</w:t>
      </w:r>
    </w:p>
    <w:p>
      <w:r>
        <w:t>定性阶段重点解释购买背后的情境、动机、决策过程与障碍，为量化提供消费者语言和可检验假设。以个体深访为主，便于复盘具体购买经历和私人预算；加入购物陪访，以观察表达与行为是否一致。行业访谈用于理解渠道和执行条件，其意见不计入消费者偏好。</w:t>
      </w:r>
    </w:p>
    <w:p>
      <w:r>
        <w:t>本版不默认叠加焦点小组。若后续确有需要观察同伴互动或共创社交型 IP 活动，可在预算允许时加设小组；不为了凑齐方法而增加与决策无关的环节。</w:t>
      </w:r>
    </w:p>
    <w:p>
      <w:pPr>
        <w:pStyle w:val="Heading2"/>
      </w:pPr>
      <w:r>
        <w:t>样本结构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4346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4346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消费者状态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美国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加拿大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墨西哥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合计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近 6 个月购买 示例品牌 至少 2 次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近 6 个月购买 示例品牌 恰好 1 次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认识 示例品牌 但近 6 个月没有购买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不认识 示例品牌 的相关品类购买者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9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消费者深访合计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36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其中参加购物陪访的子样本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18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另招渠道或行业访谈对象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</w:t>
            </w:r>
          </w:p>
        </w:tc>
      </w:tr>
    </w:tbl>
    <w:p>
      <w:pPr>
        <w:spacing w:after="40" w:before="0" w:line="96" w:lineRule="auto"/>
      </w:pPr>
    </w:p>
    <w:p>
      <w:r>
        <w:t>消费者四组按上述顺序互斥判定。第三组进一步覆盖曾买但流失、曾入店但未买、尚未到店等不同情况，作为组内平衡而非新增硬配额。品牌购买需用最近时间、地点、品类和过程交叉核实，避免仅凭自报归组。</w:t>
      </w:r>
    </w:p>
    <w:p>
      <w:r>
        <w:t>每国 12 位消费者暂分布在两个城市，各 6 位。性别、年龄、家庭阶段、消费用途、IP 参与程度和收入水平作为全样本的平衡属性，避免把它们全部交叉成数十个空单元。必须纳入非重度 IP 爱好者；不从单一粉丝社群或现有会员名单包办招募。</w:t>
      </w:r>
    </w:p>
    <w:p>
      <w:r>
        <w:t>本阶段共有 36 位消费者和另行招募的 6 位行业受访者，共 42 位外部独立受访者。18 次陪访来自 36 位消费者之中，不再加算为独立人数；8 场内部业务访谈另记。后续问卷认知测试的 12 位消费者也另招，不与本阶段混算。</w:t>
      </w:r>
    </w:p>
    <w:p>
      <w:r>
        <w:t>样本数是初始设计，按跨国、品牌关系和消费用途提供对照，不承诺凭该数量达到“饱和”。每日复盘关键主题和反例。若某语言/群体仍有明显未解释分歧，先在既定样本中调整招募；不足时提出有理由的补访，说明新增数量和影响，不静默扩大范围。</w:t>
      </w:r>
    </w:p>
    <w:p>
      <w:pPr>
        <w:pStyle w:val="Heading2"/>
      </w:pPr>
      <w:r>
        <w:t>招募与执行要求</w:t>
      </w:r>
    </w:p>
    <w:p>
      <w:r>
        <w:t>消费者需常住目标市场、年满 18 岁、过去 6 个月购买过入选品类并参与决定。排除相关品牌雇员、市场研究及与本研究有直接利益关系的岗位；重复参加类似研究的限制依据项目招募规则设定，不机械照搬历史阈值。</w:t>
      </w:r>
    </w:p>
    <w:p>
      <w:r>
        <w:t>招募邀请使用中性的生活方式购物主题。筛选不提前展示主张或 IP 刺激物；必须记录品牌关系筛查可能带来的提示影响。因此，定性中的自发品牌联想用于解释，不承担市场认知率估计。</w:t>
      </w:r>
    </w:p>
    <w:p>
      <w:r>
        <w:t>每场深访 75 分钟，采用受访者熟悉的语言。优先由当地研究人员主持，关键主题双人复核；获准录音和观察后使用匿名编号。照片和购物凭据仅在自愿且必要时收集，并处理其中个人信息。门店访问在许可条件下开展，不假设任何门店已经授权。</w:t>
      </w:r>
    </w:p>
    <w:p>
      <w:pPr>
        <w:pStyle w:val="Heading2"/>
      </w:pPr>
      <w:r>
        <w:t>深访模块与详细追问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3853"/>
        <w:gridCol w:w="988"/>
        <w:gridCol w:w="5038"/>
      </w:tblGrid>
      <w:tr>
        <w:trPr>
          <w:cantSplit/>
          <w:tblHeader/>
        </w:trPr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98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分钟</w:t>
            </w:r>
          </w:p>
        </w:tc>
        <w:tc>
          <w:tcPr>
            <w:tcW w:type="dxa" w:w="503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主要输出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QL01 开场与生活背景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生活/家庭背景和消费角色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QL02 最近一次购买复盘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实际场景、预算与替代选择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QL03 发现至购买旅程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触点、决策和中断节点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QL04 需求与情境价值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功能/情绪需求及反例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QL05 品牌与竞争理解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自发联想、信任与区隔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QL06 IP 收藏与赠礼机制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IP、收藏及赠礼的作用边界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QL07 初步主张与商品刺激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12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理解、吸引力、可信度和障碍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QL08 取舍与收尾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优先改善点、未解决问题</w:t>
            </w:r>
          </w:p>
        </w:tc>
      </w:tr>
      <w:tr>
        <w:trPr>
          <w:cantSplit/>
        </w:trPr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988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75</w:t>
            </w:r>
          </w:p>
        </w:tc>
        <w:tc>
          <w:tcPr>
            <w:tcW w:type="dxa" w:w="503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为后续测量提供假设和语言</w:t>
            </w:r>
          </w:p>
        </w:tc>
      </w:tr>
    </w:tbl>
    <w:p>
      <w:pPr>
        <w:spacing w:after="40" w:before="0" w:line="96" w:lineRule="auto"/>
      </w:pPr>
    </w:p>
    <w:p>
      <w:r>
        <w:t>QL01 从日常安排、家庭中的购买角色和最近生活变化切入。询问“哪些小额商品通常由你决定买”，避免预设年轻、爱收藏或追求情绪价值就是目标用户。</w:t>
      </w:r>
    </w:p>
    <w:p>
      <w:r>
        <w:t>QL02 请受访者选择最近一次真实的相关购买，从起因讲到使用或送出之后。追问何时、为谁、原定预算、实际花费、同时考虑的商品、没有购买的选择以及事后是否后悔。将实际付价与觉得值多少钱分开。</w:t>
      </w:r>
    </w:p>
    <w:p>
      <w:r>
        <w:t>QL03 按时间顺序重建发现、搜索、比较、进店/浏览、决定、付款和使用。追问哪些步骤本可中断购买，线上内容是否带来线下访问，什么信息缺失，找不到商品时去了哪里。区分自发发现、计划购买与陪同他人顺带购买。</w:t>
      </w:r>
    </w:p>
    <w:p>
      <w:r>
        <w:t>QL04 从具体事件询问产品完成了什么任务，以及没有购买时是否真的有损失。需要时追问自我奖励、放松、身份表达、社交联结、家居整理和实用替换，但先让受访者自行描述。主动寻找只重视实用或对相关消费感到浪费的反例。</w:t>
      </w:r>
    </w:p>
    <w:p>
      <w:r>
        <w:t>QL05 先问会想起哪些店或品牌、各自适合什么用途，再对 示例品牌 进行提示后理解。对认识但不买的人，区分品牌印象、质量信任、价格、距离、品类与其他障碍；对购买者追问为什么仍会选择替代渠道。记录自然提及与提示后回答的差别。</w:t>
      </w:r>
    </w:p>
    <w:p>
      <w:r>
        <w:t>QL06 请受访者讲一次与角色/IP 有关的购买或拒绝。追问喜欢角色是否一定愿意付费、授权与质量是否被关注、盲盒不确定性如何被看待、收藏和赠礼是否需要不同商品。赠礼需覆盖收礼关系、预算、体面感、包装及担心送错的原因。</w:t>
      </w:r>
    </w:p>
    <w:p>
      <w:r>
        <w:t>QL07 在完成前述开放探索后，出示同等完整度的初步主张卡。先请其用自己的话复述，再问吸引和不可信之处、适用场景、与现有选项相比的差异及拒绝理由。轮换展示顺序；反应记录为探索线索，不将人数较多的选择称作统计赢家。</w:t>
      </w:r>
    </w:p>
    <w:p>
      <w:r>
        <w:t>QL08 请其在若干真实取舍中说明最优先改善什么，例如更容易找到需要的商品、质量确定性、价格、喜欢的 IP 或更方便的购买方式。问“哪些情况会让你下次不再选择”，以及本次讨论遗漏了什么。</w:t>
      </w:r>
    </w:p>
    <w:p>
      <w:pPr>
        <w:pStyle w:val="Heading2"/>
      </w:pPr>
      <w:r>
        <w:t>购物陪访与行业访谈</w:t>
      </w:r>
    </w:p>
    <w:p>
      <w:r>
        <w:t>陪访每场约 60 分钟：购前任务 10 分钟、店内/渠道行为观察 35 分钟、离店复盘 15 分钟。每国 6 场初步分配为 3 场 示例品牌、3 场经核对的当地替代渠道，覆盖购买者和未购买者。门店选择应记录店型、商圈、时段与访问目的，不能用这 18 场估计客流或转化率。</w:t>
      </w:r>
    </w:p>
    <w:p>
      <w:r>
        <w:t>观察入口吸引物、首个关注区域、拿起/放下商品、价格检查、角色/IP 识别、寻求帮助和放弃节点。访问后追问决策理由，避免主持人在购物时持续提示。记录自然行为与任务诱发行为，不把研究者安排的任务当真实购买路径。</w:t>
      </w:r>
    </w:p>
    <w:p>
      <w:r>
        <w:t>每国 2 场行业访谈，每场约 45 分钟。覆盖具有相关经验的零售/渠道观察者，重点讨论品类陈列、店型、购物场景和研究执行条件。只讨论对方有权分享的内容；观点与公开事实、消费者证据分别记录，不获取未获授权的商业机密。</w:t>
      </w:r>
    </w:p>
    <w:p>
      <w:pPr>
        <w:pStyle w:val="Heading2"/>
      </w:pPr>
      <w:r>
        <w:t>定性分析与交付</w:t>
      </w:r>
    </w:p>
    <w:p>
      <w:r>
        <w:t>建立“消费者编号—国家—关系组—场景—观察/原话—解释—反例”台账。先按国家及消费场景分析，再比较共同机制和当地差异。由第二位研究人员检查关键主题及反例；翻译抽检重点在消费者含义，而非仅对照字面。</w:t>
      </w:r>
    </w:p>
    <w:p>
      <w:r>
        <w:t>交付三国场景与旅程图、需求词表、初步人群假设、品牌/产品/IP 障碍、主张优化意见和定量待验证清单。引文可说明一种机制或分歧，不能替代比例。分组以便于后续识别和采取行动为标准，不强行产出预定数量的“人群画像”。</w:t>
      </w:r>
    </w:p>
    <w:p>
      <w:pPr>
        <w:pStyle w:val="Heading1"/>
      </w:pPr>
      <w:r>
        <w:t>七 定性到定量的转换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定性发现类型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转为量化设计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需要保留的检查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反复出现的购买场景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场景选项、最近一次场景、频率与用途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保留其他场景，避免选项仅覆盖熟悉人群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表述不同但含义相近的需求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需求陈述及量表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认知测试检查理解、双重含义和当地语言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商品/IP 吸引或拒绝理由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属性、障碍选项及可比刺激物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区分喜欢、愿买、愿付价与实际买过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购买旅程中断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按认知/到店/购买状态出示的障碍题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不把未体验的人纳入体验满意度基数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暂定人群类型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候选分群变量、画像变量和排除变量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品牌购买不作为默认分群核心，防止循环解释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反常或冲突案例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竞争假设、分支题或分析切片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不因不符合主线而删除</w:t>
            </w:r>
          </w:p>
        </w:tc>
      </w:tr>
    </w:tbl>
    <w:p>
      <w:pPr>
        <w:spacing w:after="40" w:before="0" w:line="96" w:lineRule="auto"/>
      </w:pPr>
    </w:p>
    <w:p>
      <w:r>
        <w:t>定性结束后召开一次设计工作坊，对每个关键问题写出候选解释、测量题目、预期分析和可能反证。冻结进入正式问卷的构念、主要比较、主张刺激和语言定义。定性不能回答规模的问题明确交给定量；需要行为结果的问题交给后续试点。</w:t>
      </w:r>
    </w:p>
    <w:p>
      <w:pPr>
        <w:pStyle w:val="Heading1"/>
      </w:pPr>
      <w:r>
        <w:t>八 定量总体与样本设计</w:t>
      </w:r>
    </w:p>
    <w:p>
      <w:pPr>
        <w:pStyle w:val="Heading2"/>
      </w:pPr>
      <w:r>
        <w:t>访问方式与来源</w:t>
      </w:r>
    </w:p>
    <w:p>
      <w:r>
        <w:t>基础方案采用当地在线面板，对符合前述定义的品类消费者进行访问。优先保持同一国家各比较组的来源一致，记录供应商、招募渠道、样本层、语言和设备。供应商需要说明覆盖与排除人群、重复样本控制、资格验证、激励和交付规则。</w:t>
      </w:r>
    </w:p>
    <w:p>
      <w:r>
        <w:t>在线自愿加入面板属于非概率样本。配额和加权有助于改善已知结构差异，但不能保证消除选择偏差，也不能用传统概率抽样误差保证全国代表性。本案例将报告样本来源、适用总体、加权条件和推断限制。</w:t>
      </w:r>
    </w:p>
    <w:p>
      <w:r>
        <w:t>如果决策必须支持全国总体推断，应评估概率招募面板或独立概率样本方案，并重新报价和设计；不能仅扩大同类在线样本便宣称达到了该要求。</w:t>
      </w:r>
    </w:p>
    <w:p>
      <w:pPr>
        <w:pStyle w:val="Heading2"/>
      </w:pPr>
      <w:r>
        <w:t>基础样本与用户加样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4346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4346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样本层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美国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加拿大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墨西哥</w:t>
            </w:r>
          </w:p>
        </w:tc>
        <w:tc>
          <w:tcPr>
            <w:tcW w:type="dxa" w:w="138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合计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相关品类消费者基础样本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1,200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2,400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示例品牌 最近购买者额外加样上限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600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含加样的有效访问最大数量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1,400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800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800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3,000</w:t>
            </w:r>
          </w:p>
        </w:tc>
      </w:tr>
      <w:tr>
        <w:trPr>
          <w:cantSplit/>
        </w:trPr>
        <w:tc>
          <w:tcPr>
            <w:tcW w:type="dxa" w:w="434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三个主张测试单元的基础样本分配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每单元 400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每单元 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每单元 200</w:t>
            </w:r>
          </w:p>
        </w:tc>
        <w:tc>
          <w:tcPr>
            <w:tcW w:type="dxa" w:w="1383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每单元 800</w:t>
            </w:r>
          </w:p>
        </w:tc>
      </w:tr>
    </w:tbl>
    <w:p>
      <w:pPr>
        <w:spacing w:after="40" w:before="0" w:line="96" w:lineRule="auto"/>
      </w:pPr>
    </w:p>
    <w:p>
      <w:r>
        <w:t>基础样本通过品类资格筛选，但不设置 示例品牌 购买者比例配额。它用于品类内的品牌漏斗、需求、分群候选和主张比较。国家样本的不同规模表示本版对美国比较精度的投入优先级，不表示其市场规模占比。</w:t>
      </w:r>
    </w:p>
    <w:p>
      <w:r>
        <w:t>用户加样用于体验和 NPS 诊断。目标是使每国最近 6 个月 示例品牌 购买者至少达到 200 个可用样本；实际加样数等于该目标与基础样本中有效购买者数量的差额，最低为 0、最高为 200。若基础样本已有足够购买者，则不加样。目标数量不保证招募可行，必须经试招确认。</w:t>
      </w:r>
    </w:p>
    <w:p>
      <w:r>
        <w:t>基础样本和品牌加样分别保留标记。品牌渗透、品牌漏斗的总体基数、自然人群大小以及主要随机主张比较均使用基础样本；品牌加样不直接并入这些结果。体验诊断如合并基础样本购买者与加样，需报告来源差异，并以仅基础样本购买者结果做敏感性对照。</w:t>
      </w:r>
    </w:p>
    <w:p>
      <w:r>
        <w:t>本项目不把会员名单或门店访客样本当成全部品牌购买者。若为达到用户分析基数而采用门店/会员渠道，单列其分析层，检查购物频率、城市、会员状态等差异。数据无法合理合并时分开报告。</w:t>
      </w:r>
    </w:p>
    <w:p>
      <w:pPr>
        <w:pStyle w:val="Heading2"/>
      </w:pPr>
      <w:r>
        <w:t>配额与最低分析要求</w:t>
      </w:r>
    </w:p>
    <w:p>
      <w:r>
        <w:t>硬条件为国家常住、成年、品类资格和参与购买决定。年龄、性别、地区、城市层级、语言、家庭阶段及购买用途按决策需要设置覆盖或软配额。具体比例由可用的品类人群基准和试招结果确定；全国成年人口结构不自动等于品类购买者结构。</w:t>
      </w:r>
    </w:p>
    <w:p>
      <w:r>
        <w:t>不将国家、城市、年龄、性别、IP 偏好、品牌关系和购买用途全部交叉为硬配额。先列重要的一级比较，再判断其他属性能否作为控制变量或合并切片。用户加样的配额单独设计，不能反向改变基础样本的自然品牌构成。</w:t>
      </w:r>
    </w:p>
    <w:p>
      <w:r>
        <w:t>本版国家与实验单元的有效数量主要支持方向性比较，不保证辨认很小差异。作为理想独立简单随机样本的近似规划参照，当比例接近 50%、双侧显著性水平 5%、检验力约 80% 时，两组各 200 份识别的差异量级约为 14 个百分点，两组各 400 份约为 10 个百分点。这不是本项目非概率样本可报告的总体误差，也未计入多重比较、加权和设计效应。</w:t>
      </w:r>
    </w:p>
    <w:p>
      <w:r>
        <w:t>因此，正式访问前应确定需要识别的最小业务差异、主要比较和可接受的不确定性。若要判断细小差异、很小的人群或复杂多层交互，应增加相应样本或缩减研究目标。初步设定未加权基数少于 50 的切片不做稳定排名，50 至 99 仅作谨慎描述；这些是本项目的建议呈现规则，并非普适统计充分性标准。</w:t>
      </w:r>
    </w:p>
    <w:p>
      <w:r>
        <w:t>NPS 的精度取决于推荐者、贬损者及中立者分布、样本设计和权重，不套用普通二项比例误差。跨国 NPS 差异也需检查语言、品牌关系、购买时点和回答风格，不能仅凭点估计高低判断经营优劣。</w:t>
      </w:r>
    </w:p>
    <w:p>
      <w:pPr>
        <w:pStyle w:val="Heading1"/>
      </w:pPr>
      <w:r>
        <w:t>九 定量问卷整体大纲</w:t>
      </w:r>
    </w:p>
    <w:p>
      <w:r>
        <w:t>以下为模块级大纲和关键题意，尚非可直接上线的逐题程序。问卷编制时补齐题号、选项、量表锚点、随机化、互斥、跳转及码表。任何刺激物均安排在基础品牌与体验指标之后。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1976"/>
        <w:gridCol w:w="4840"/>
        <w:gridCol w:w="1087"/>
        <w:gridCol w:w="1976"/>
      </w:tblGrid>
      <w:tr>
        <w:trPr>
          <w:cantSplit/>
          <w:tblHeader/>
        </w:trPr>
        <w:tc>
          <w:tcPr>
            <w:tcW w:type="dxa" w:w="1976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840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基数与主要内容</w:t>
            </w:r>
          </w:p>
        </w:tc>
        <w:tc>
          <w:tcPr>
            <w:tcW w:type="dxa" w:w="1087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预计分钟</w:t>
            </w:r>
          </w:p>
        </w:tc>
        <w:tc>
          <w:tcPr>
            <w:tcW w:type="dxa" w:w="1976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对应决策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QT00 筛选与资格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全部进入者；常住、年龄、品类购买与角色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样本总体与来源控制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QT01 自发品牌与联想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基础样本；未提示品牌前的认知和自然联想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1.5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D03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QT02 品牌漏斗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基础样本；提示认知、考虑、到店/浏览、购买与最常选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D03 D05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QT03 场景与最近购买旅程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全体合格者；用途、触发、渠道、商品、花费和替代选择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3.0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D02 D04 D05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QT04 需求与生活态度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全体合格者；功能/情境需求、价值取舍、分群候选量表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D02 D04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QT05 体验或未买障碍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最近购买者测 NPS 后测体验；其他人测未买原因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2.5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D05 D06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QT06 价格与价值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全体合格者；最近实际付价、价格感知、可比商品价值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D04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QT07 IP 与赠礼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全体合格者；参与、购买、赠礼需求和障碍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D02 D04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QT08 主张随机测试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仅基础样本；每人随机看到一个主张方案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4.0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D03 D04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QT09 背景与收尾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全体合格者；用于分析的背景与缺失情况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分析与可比性</w:t>
            </w:r>
          </w:p>
        </w:tc>
      </w:tr>
      <w:tr>
        <w:trPr>
          <w:cantSplit/>
        </w:trPr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最长主要路径规划合计</w:t>
            </w:r>
          </w:p>
        </w:tc>
        <w:tc>
          <w:tcPr>
            <w:tcW w:type="dxa" w:w="4840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基础样本购买者主要路径</w:t>
            </w:r>
          </w:p>
        </w:tc>
        <w:tc>
          <w:tcPr>
            <w:tcW w:type="dxa" w:w="1087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 w:val="0"/>
                <w:sz w:val="21"/>
              </w:rPr>
              <w:t>22.0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实际以预试测量为准</w:t>
            </w:r>
          </w:p>
        </w:tc>
      </w:tr>
    </w:tbl>
    <w:p>
      <w:pPr>
        <w:spacing w:after="40" w:before="0" w:line="96" w:lineRule="auto"/>
      </w:pPr>
    </w:p>
    <w:p>
      <w:r>
        <w:t>用户加样不参加 QT08 主张比较，且可精简已知不承担主要估计用途的品牌漏斗题。不同路径时长分开监控，22.0 分钟是规划合计，不是实测结果或供应商承诺。</w:t>
      </w:r>
    </w:p>
    <w:p>
      <w:pPr>
        <w:pStyle w:val="Heading2"/>
      </w:pPr>
      <w:r>
        <w:t>QT00 至 QT02 总体与品牌基线</w:t>
      </w:r>
    </w:p>
    <w:p>
      <w:r>
        <w:t>筛选只呈现中性品类，不在自然认知之前展示 示例品牌 或 IP 名称。先收自然提及及联想，再展示经当地核实、长度适当的品牌列表；随机化适用选项的位置，并固定“其他/不知道”等特殊选项的位置。</w:t>
      </w:r>
    </w:p>
    <w:p>
      <w:r>
        <w:t>品牌漏斗建议使用明确的时间口径：当前是否知道、过去 6 个月是否考虑及购买、过去 6 个月是否到店/浏览、未来 3 个月是否考虑再次或首次购买。考虑、访问和购买并非天然严格嵌套关系；按题意分别定义，并报告每个转化比率的分母，避免通过强制筛选制造漂亮漏斗。</w:t>
      </w:r>
    </w:p>
    <w:p>
      <w:r>
        <w:t>自然提及是认知方式，提示认知是另一种指标，两者不可合并命名。品牌原产地、质量或定位联想先开放，再使用不带价值判断的提示选项；不能把研究者对品牌的定位直接写入题干。</w:t>
      </w:r>
    </w:p>
    <w:p>
      <w:pPr>
        <w:pStyle w:val="Heading2"/>
      </w:pPr>
      <w:r>
        <w:t>QT03 至 QT04 场景 旅程与需求</w:t>
      </w:r>
    </w:p>
    <w:p>
      <w:r>
        <w:t>从最近一次实际购买记录商品品类、对象、用途、触发事件、购买计划程度、信息来源、比较渠道、选择原因和未选替代项。金额同时记录币种、数量、是否促销和税费认知，不将一次购物总额等同于单件价格。</w:t>
      </w:r>
    </w:p>
    <w:p>
      <w:r>
        <w:t>需求量表由定性结果形成，覆盖实际任务、购买确定性、便利、赠礼、愉悦、收藏和表达等候选构念。每题只表达一个含义，避免“便宜且有品质”这类双重问题。分群的核心变量优先使用需求、场景和态度；人口特征、品牌结果及购买表现用于画像和外部检验。</w:t>
      </w:r>
    </w:p>
    <w:p>
      <w:pPr>
        <w:pStyle w:val="Heading2"/>
      </w:pPr>
      <w:r>
        <w:t>QT05 体验 NPS与障碍</w:t>
      </w:r>
    </w:p>
    <w:p>
      <w:r>
        <w:t>仅对过去 6 个月确实购买 示例品牌 的受访者测该品牌 NPS，并将 0 至 10 分完整标注清楚，先问整体推荐意愿，再问原因和具体体验。推荐者为 9 至 10 分，贬损者为 0 至 6 分，中立者为 7 至 8 分；NPS 为推荐者百分比减贬损者百分比，范围为负 100 至正 100 点。缺失或“不适用”不按 0 分处理。</w:t>
      </w:r>
    </w:p>
    <w:p>
      <w:r>
        <w:t>体验维度候选包括商品选择、质量确定性、价格价值、IP 相关性、找商品难度、门店环境、服务和售后。仅对经历相应触点的人询问评价；尚未到店者不能评价店员服务。</w:t>
      </w:r>
    </w:p>
    <w:p>
      <w:r>
        <w:t>未购买者使用另一条路径，区分未认知、尚无需求、不可达、商品不合适、质量顾虑、价格、不了解或其他原因。过去买过但近期不买的人另记流失情境，不与从未购买者混为同一种障碍。</w:t>
      </w:r>
    </w:p>
    <w:p>
      <w:pPr>
        <w:pStyle w:val="Heading2"/>
      </w:pPr>
      <w:r>
        <w:t>QT06 至 QT07 价值 IP与赠礼</w:t>
      </w:r>
    </w:p>
    <w:p>
      <w:r>
        <w:t>价格模块区分实际付价、觉得贵/便宜、感知价值与对指定商品的接受程度。本版用于确定价值判断和后续价格研究问题，不凭这些回答给出需求弹性或最优售价。若经营决策确需定价，另行设置固定商品、可实现价格水平和足够样本的专门测试。</w:t>
      </w:r>
    </w:p>
    <w:p>
      <w:r>
        <w:t>IP 模块区分认识、喜欢、关注、收藏、买过及愿意购买，不以喜欢代替购买。仅对确有相关行为的人深问收藏习惯；为其他人保留不感兴趣、不了解和拒绝的解释。赠礼模块记录收礼关系、事件、预算、包装与选错风险，不把所有情绪型消费都算作自用。</w:t>
      </w:r>
    </w:p>
    <w:p>
      <w:pPr>
        <w:pStyle w:val="Heading2"/>
      </w:pPr>
      <w:r>
        <w:t>QT08 至 QT09 方案评价与背景</w:t>
      </w:r>
    </w:p>
    <w:p>
      <w:r>
        <w:t>主张评价包括理解、吸引力、与自身相关程度、可信度、差异感、考虑程度和主要拒绝理由。购买意向作为态度指标，不能换算为销量。背景变量只保留支持分析和配额复核所需内容，敏感项设置合适的拒答选项。</w:t>
      </w:r>
    </w:p>
    <w:p>
      <w:r>
        <w:t>品牌基线与 NPS 在方案刺激前完成；如某模块造成明显负担或提示污染，改为分版本设计，并在分析计划中写明各指标的不同基数。跨国版本共用稳定变量和码值，保留本地必要选项及映射表，不强行合并含义不同的项目。</w:t>
      </w:r>
    </w:p>
    <w:p>
      <w:pPr>
        <w:pStyle w:val="Heading1"/>
      </w:pPr>
      <w:r>
        <w:t>十 主张测试的具体设计</w:t>
      </w:r>
    </w:p>
    <w:p>
      <w:r>
        <w:t>建议将三个待完善的方向作为随机单方案测试候选：实用与发现价值、IP 与收藏乐趣、赠礼与日常愉悦。它们来自当前业务问题和待验证假设，不是定性研究已经选出的胜出方案。最终测试方向由定性整合阶段确定。</w:t>
      </w:r>
    </w:p>
    <w:p>
      <w:r>
        <w:t>基础样本在每国以一比一比一分配。美国每个单元 400 份，加拿大和墨西哥每个单元各 200 份。按国家及少数重要招募层进行随机分配，记录分配结果；不能按受访者偏好选择其看到的方案。每人只看一个方案，避免顺序和直接比较效应。</w:t>
      </w:r>
    </w:p>
    <w:p>
      <w:r>
        <w:t>控制方案的信息完整度、字数、图片质量、商品范围、价格展示与品牌标识；当地语言和币种保持清晰。若方案同时改变了商品、包装和主张，结果只能解释为整套组合的相对反应，不能拆解为某个单独元素的作用。使用的 IP 和商品素材需要有相应使用依据；在素材未齐时不伪造已获授权的合作。</w:t>
      </w:r>
    </w:p>
    <w:p>
      <w:r>
        <w:t>主要指标建议为预先定义的考虑程度，可信度和价值感作为诊断指标。正式执行前冻结主要对比、多重比较处理、异常样本处理和最小业务差异。三国分别分析，跨国汇总作为有明确模型前提的补充，不以简单平均掩盖国家差异。</w:t>
      </w:r>
    </w:p>
    <w:p>
      <w:r>
        <w:t>随机分配可帮助解释本样本对不同刺激的反应差异，但访问环境、面板来源和态度指标仍限制外推。胜出主张进入门店/渠道试点；只有获得实际交易与合理对照设计后，才能讨论增量销售或收入效果。</w:t>
      </w:r>
    </w:p>
    <w:p>
      <w:pPr>
        <w:pStyle w:val="Heading1"/>
      </w:pPr>
      <w:r>
        <w:t>十一 预试 数据质量与版本管理</w:t>
      </w:r>
    </w:p>
    <w:p>
      <w:pPr>
        <w:pStyle w:val="Heading2"/>
      </w:pPr>
      <w:r>
        <w:t>认知测试与试访</w:t>
      </w:r>
    </w:p>
    <w:p>
      <w:r>
        <w:t>正式编程前，另招 12 位符合资格的消费者进行认知测试，每国 4 位，每场约 45 分钟。美国覆盖拟采用的英语/西语版本，加拿大覆盖英语/法语，墨西哥覆盖当地西语。每个版本的初始人数较少，若出现新问题则继续迭代，而不将 12 人视为所有语言均已充分验证。</w:t>
      </w:r>
    </w:p>
    <w:p>
      <w:r>
        <w:t>认知测试检查品类边界、回溯期、品牌名、量表锚点、翻译含义、题目负担和刺激理解。记录问题、修改、影响变量和复测结论。问卷源语言和当地版本先双向核对关键含义，再做认知测试；机器翻译本身不作为语言验收。</w:t>
      </w:r>
    </w:p>
    <w:p>
      <w:r>
        <w:t>在线软启动建议每国 20 份，共 60 份，包含在最终基础样本目标内。检查资格发生率、路径、设备适配、时长分布、选项使用、关键基数、随机分配和配额可行性。若修改影响测量或随机处理，相关试访数据不并入主样本，补足有效数量。</w:t>
      </w:r>
    </w:p>
    <w:p>
      <w:pPr>
        <w:pStyle w:val="Heading2"/>
      </w:pPr>
      <w:r>
        <w:t>数据质量与码表</w:t>
      </w:r>
    </w:p>
    <w:p>
      <w:r>
        <w:t>事先定义资格核实、重复记录、路由完整性、逻辑冲突、异常作答模式和开放题复核规则。单个时长阈值、回答简短、负面评价或跨题态度差异不自动构成删除依据；检查是否与具体题意冲突，并保留审计记录。</w:t>
      </w:r>
    </w:p>
    <w:p>
      <w:r>
        <w:t>冻结问卷、各国语言版本、程序与码表的版本关系。变量字典包含变量名、题意、适用基数、码值、特殊缺失和多选/矩阵展开。随机化只改变出示顺序，不改变分析编码。“未出示”“不知道”“拒答”和真实的零值要区分。</w:t>
      </w:r>
    </w:p>
    <w:p>
      <w:r>
        <w:t>数据保留原始层、清洗标记层和分析层。按国家、样本来源、品牌关系及实验单元报告剔除数量和原因，检查剔除是否破坏分配或引入新的选择差异。研究结论与质量处理同步复核，不根据结果是否符合预期决定删除样本。</w:t>
      </w:r>
    </w:p>
    <w:p>
      <w:pPr>
        <w:pStyle w:val="Heading2"/>
      </w:pPr>
      <w:r>
        <w:t>加权与比较</w:t>
      </w:r>
    </w:p>
    <w:p>
      <w:r>
        <w:t>权重设计须有可核实的目标结构、适用总体和方法依据。若只有总体成年人口结构，可用作覆盖诊断，但不能自动把它当成相关品类消费者的校准目标。校准后检查权重分布、极端权重、有效样本量和结论敏感性；权重截断规则由实际分布与研究目的决定并记录。</w:t>
      </w:r>
    </w:p>
    <w:p>
      <w:r>
        <w:t>报告同时给出未加权基数和适用时的有效基数。国家、来源、基础/加样、语言和测量版本保持可追溯。品牌漏斗、NPS、随机主张测试和分群各有自己的分析基数，不为了方便统一成同一个 N。</w:t>
      </w:r>
    </w:p>
    <w:p>
      <w:pPr>
        <w:pStyle w:val="Heading1"/>
      </w:pPr>
      <w:r>
        <w:t>十二 分析计划与策略衔接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1679"/>
        <w:gridCol w:w="2964"/>
        <w:gridCol w:w="2568"/>
        <w:gridCol w:w="2667"/>
      </w:tblGrid>
      <w:tr>
        <w:trPr>
          <w:cantSplit/>
          <w:tblHeader/>
        </w:trPr>
        <w:tc>
          <w:tcPr>
            <w:tcW w:type="dxa" w:w="1679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分析工作</w:t>
            </w:r>
          </w:p>
        </w:tc>
        <w:tc>
          <w:tcPr>
            <w:tcW w:type="dxa" w:w="296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数据与方法</w:t>
            </w:r>
          </w:p>
        </w:tc>
        <w:tc>
          <w:tcPr>
            <w:tcW w:type="dxa" w:w="2568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主要交付</w:t>
            </w:r>
          </w:p>
        </w:tc>
        <w:tc>
          <w:tcPr>
            <w:tcW w:type="dxa" w:w="2667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解释边界与备选方案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国家机会评估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官方/企业汇总数据与分国消费者证据并列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需求、品牌接受、触达和经营条件矩阵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没有成本、单店或渠道数据时不计算收益排名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品牌漏斗与转化障碍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基础样本分母清晰的描述比较与路径切片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各国漏斗、未认知/未到店/未买差异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横截面自报关联不等同于个人真实转化轨迹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场景与需求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最近购买、用途、需求量表与访谈编码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场景组合及驱动/障碍图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自报频率和金额存在回忆误差，需与可用交易汇总对照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人群细分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候选需求构念、聚类/潜类等适用方法、稳定性与可识别性检查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人群定义、识别题、画像与行动建议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方法由实际分布选择；不稳定时交付场景/需求画像，放弃强行分群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体验与 NPS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最近购买者样本及来源敏感性分析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推荐/贬损原因、触点改善重点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关联分析不能单独证明改善某触点会提高销售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主张测试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按预先随机分配比较主要态度指标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各国方案反应和诊断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对应受测方案与样本，不作为销量预测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价值与价格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实付价、价值感、可比商品评价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价格认知与进一步验证议题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不据此估计需求弹性或最优价格</w:t>
            </w:r>
          </w:p>
        </w:tc>
      </w:tr>
      <w:tr>
        <w:trPr>
          <w:cantSplit/>
        </w:trPr>
        <w:tc>
          <w:tcPr>
            <w:tcW w:type="dxa" w:w="1679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混合方法整合</w:t>
            </w:r>
          </w:p>
        </w:tc>
        <w:tc>
          <w:tcPr>
            <w:tcW w:type="dxa" w:w="296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问题级联合证据表与反例审查</w:t>
            </w:r>
          </w:p>
        </w:tc>
        <w:tc>
          <w:tcPr>
            <w:tcW w:type="dxa" w:w="2568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机会优先级、行动和试点条件</w:t>
            </w:r>
          </w:p>
        </w:tc>
        <w:tc>
          <w:tcPr>
            <w:tcW w:type="dxa" w:w="2667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证据冲突未解时保留差异，避免过早给单一答案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人群细分的实施要求</w:t>
      </w:r>
    </w:p>
    <w:p>
      <w:r>
        <w:t>先检查候选题的理解、分布、相关性和跨国含义，再选择适合数据类型的方法。比较不同方案数量及其稳定性、分离度、解释性和商业可执行性，不预先要求一定得到四类或六类。</w:t>
      </w:r>
    </w:p>
    <w:p>
      <w:r>
        <w:t>在样本允许时，通过留出样本或重抽样检查方案稳定性，检查小群体是否仅由异常值或样本来源形成。以未参与分群的行为和品牌变量做外部解释，并验证用简短识别题能否用于实际触达。</w:t>
      </w:r>
    </w:p>
    <w:p>
      <w:r>
        <w:t>各国首先独立理解，再判断是否存在可对齐的共同构念。若量表含义或反应风格不同，先修正测量或分国建模；不因标签相同而强行合并。某类在小市场人数不足时，报告其不确定性或采用上层场景，不给细碎且不可用的人群排名。</w:t>
      </w:r>
    </w:p>
    <w:p>
      <w:r>
        <w:t>本方案提出了分析要求，当前 Skill 包尚未实现这些统计模型的完整执行引擎。正式项目应配置统计分析人员及可复现工具，记录算法、输入版本、参数和验证结果；在此之前不能称已完成分群验证。</w:t>
      </w:r>
    </w:p>
    <w:p>
      <w:pPr>
        <w:pStyle w:val="Heading2"/>
      </w:pPr>
      <w:r>
        <w:t>混合证据如何形成建议</w:t>
      </w:r>
    </w:p>
    <w:p>
      <w:r>
        <w:t>每项主要建议填写一张问题级证据表：定性机制、定量表现、经营条件、反例或不确定性、建议动作、后续验证。定性与定量不一致时，检查人群、场景、语言、基数、提示顺序和执行时间，再决定保留不同解释或追加验证。</w:t>
      </w:r>
    </w:p>
    <w:p>
      <w:r>
        <w:t>例如，“赠礼可能值得优先开发”至少需要了解真实赠礼情境、相关受访人群的规模或覆盖、方案吸引与可信度，以及包装、价格、商品可得性的经营条件。仅有几段生动引文或高意向比例不足以支持扩大投入。</w:t>
      </w:r>
    </w:p>
    <w:p>
      <w:r>
        <w:t>行动排序采用证据强度、需求重要性、可触达性、业务可实施性和资源条件。评分权重由业务工作坊确定，保留原始证据与敏感性分析；不使用未经讨论的权重制造貌似精确的最终排序。</w:t>
      </w:r>
    </w:p>
    <w:p>
      <w:pPr>
        <w:pStyle w:val="Heading1"/>
      </w:pPr>
      <w:r>
        <w:t>十三 预期交付与验收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交付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主要内容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验收重点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P01 研究设计与范围说明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决策问题、总体、国家、假设、方法与排期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每项核心决策有回答路径，未决项可见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P02 案头与业务理解简报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来源、业务分歧、竞争对象、事实与缺口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当前事实与旧资料/企业判断分开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P03 定性执行包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筛选表、招募矩阵、访谈/陪访提纲、刺激物和记录模板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样本互斥、子样本清楚、各语言可执行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P04 定性发现与量化交接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场景、人群假设、反例、需求词表、量化待验证项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每项关键发现有来源，每个量化问题有用途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P05 定量执行包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各国语言问卷、程序说明、码表、随机分配和分析计划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题目、编程、变量和版本一致，预试问题已处理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P06 数据与质量说明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原始/清洗/分析层、变量字典、剔除和加权说明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可追溯、关键基数足够、来源与限制透明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P07 总报告与国家行动页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核心洞察、分国比较、人群/场景、方案测试、建议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建议能回溯到证据和实施条件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P08 业务工作坊与验证路线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优先动作、责任角色、试点设计和待补信息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不确定性、后续验证和决策责任明确</w:t>
            </w:r>
          </w:p>
        </w:tc>
      </w:tr>
    </w:tbl>
    <w:p>
      <w:pPr>
        <w:spacing w:after="40" w:before="0" w:line="96" w:lineRule="auto"/>
      </w:pPr>
    </w:p>
    <w:p>
      <w:r>
        <w:t>总报告建议按“业务决策与结论、市场和品类背景、人群与场景、品牌位置、商品/IP/价值、渠道与体验、国家机会、行动优先级、验证路线、方法附录”展开。每国单独形成可讨论的行动页，说明共同策略、当地调整和仍缺的证据。</w:t>
      </w:r>
    </w:p>
    <w:p>
      <w:r>
        <w:t>问卷和码表作为可编辑文件交付，数据字段含稳定定义。报告中的样本量、日期、币种、分母及实验单元应可核对。正式 Office 文件需通过微软 Open XML SDK 与视觉检查；文件格式正确不替代研究内容验收。</w:t>
      </w:r>
    </w:p>
    <w:p>
      <w:pPr>
        <w:pStyle w:val="Heading1"/>
      </w:pPr>
      <w:r>
        <w:t>十四 项目排期与职责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工作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依赖与评审点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1 至 2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启动、资料、业务访谈、案头、招募准备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确认国家/总体、资料权限、招募和语言可行性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3 至 4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消费者深访、陪访和行业访谈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每日复盘；必要时调整后续招募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5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定性分析、设计工作坊、问卷与刺激初稿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冻结核心构念、主要比较、刺激方向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6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语言复核、12 场认知测试、编程与 60 份软启动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确认发生率、时长、路径、数据和配额可行性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7 至 8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正式定量与按需加样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按来源/国家监控质量与关键基数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9 至 10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数据处理、加权、统计与跨方法整合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审阅分析前提、稳定性、敏感性与反例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第 11 至 12 周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总报告、国家行动页与业务工作坊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复核证据、确定行动与验证计划，含修改缓冲</w:t>
            </w:r>
          </w:p>
        </w:tc>
      </w:tr>
    </w:tbl>
    <w:p>
      <w:pPr>
        <w:spacing w:after="40" w:before="0" w:line="96" w:lineRule="auto"/>
      </w:pPr>
    </w:p>
    <w:p>
      <w:r>
        <w:t>12 周从范围和执行资源确认后的正式启动计算，不包含无期限等待合同、门店许可、刺激物或数据的时间。若试访后发生重大修改，应调整后续排期；不以压缩质量检查弥补前序延误。</w:t>
      </w:r>
    </w:p>
    <w:p>
      <w:r>
        <w:t>建议设置客户决策负责人、研究负责人、国家执行/主持、问卷与程序负责人、数据/统计负责人、报告与语言复核等职责。当前不虚列具体人员及资历。客户决定经营目标与资源；研究团队负责方法与证据；当地供应商负责经确认的招募和执行条件；统计负责人确认推断与模型适用性。</w:t>
      </w:r>
    </w:p>
    <w:p>
      <w:pPr>
        <w:pStyle w:val="Heading1"/>
      </w:pPr>
      <w:r>
        <w:t>十五 预算数量与范围调整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成本项目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本版数量依据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报价时需说明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内部业务访谈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8 场，每场 45 至 60 分钟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研究团队准备/访谈/整合工时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消费者深访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36 位，每场 75 分钟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分国招募、激励、主持、翻译和分析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购物陪访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18 场，每场 60 分钟；来自深访子样本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额外激励、差旅、门店与影像许可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行业访谈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6 位，每场约 45 分钟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招募难度、专业费用与可讨论范围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问卷认知测试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另招 12 位，每场约 45 分钟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语言覆盖、主持与迭代次数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基础定量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2,400 份净有效样本，含符合并入条件的 60 份试访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发生率、时长、无效样本替换和版本数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用户加样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0 至 600 份净有效样本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每国实际缺口、来源、资格验证与去重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问卷与数据工程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多语言版本、码表、随机测试和数据交付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编程、修改轮次、数据权属与存储方式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分析与报告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分国分析、混合证据整合、总报告与工作坊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统计方法、交付深度、修订和讨论次数</w:t>
            </w:r>
          </w:p>
        </w:tc>
      </w:tr>
    </w:tbl>
    <w:p>
      <w:pPr>
        <w:spacing w:after="40" w:before="0" w:line="96" w:lineRule="auto"/>
      </w:pPr>
    </w:p>
    <w:p>
      <w:r>
        <w:t>总预算由各国数量乘以经确认的单位费用，再加固定研究、编程、翻译、分析与差旅等成本组成。当前不填写未经供应商确认的费用，不将历史方案报价当作今日价格。用发生率、访问时长、困难群体、语言数量和加样上限做成本情景。</w:t>
      </w:r>
    </w:p>
    <w:p>
      <w:r>
        <w:t>如需压缩预算，优先讨论国家优先级、比较问题和交付深度。可以将美国设为首轮完整研究，加拿大/墨西哥先做案头和可行性探索，但此时不得宣称完成三国定量验证。也可缩减主张数量并重新分配样本；不随意砍掉预试、语言复核或关键比较所需基数。</w:t>
      </w:r>
    </w:p>
    <w:p>
      <w:pPr>
        <w:pStyle w:val="Heading1"/>
      </w:pPr>
      <w:r>
        <w:t>十六 主要风险与应对</w:t>
      </w:r>
    </w:p>
    <w:tbl>
      <w:tblPr>
        <w:tblW w:type="auto" w:w="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/>
      </w:tblPr>
      <w:tblGrid>
        <w:gridCol w:w="2074"/>
        <w:gridCol w:w="3853"/>
        <w:gridCol w:w="3951"/>
      </w:tblGrid>
      <w:tr>
        <w:trPr>
          <w:cantSplit/>
          <w:tblHeader/>
        </w:trPr>
        <w:tc>
          <w:tcPr>
            <w:tcW w:type="dxa" w:w="2074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风险</w:t>
            </w:r>
          </w:p>
        </w:tc>
        <w:tc>
          <w:tcPr>
            <w:tcW w:type="dxa" w:w="3853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影响</w:t>
            </w:r>
          </w:p>
        </w:tc>
        <w:tc>
          <w:tcPr>
            <w:tcW w:type="dxa" w:w="3951"/>
            <w:shd w:val="clear" w:color="auto" w:fill="DDE6EE"/>
            <w:vAlign w:val="center"/>
          </w:tcPr>
          <w:p>
            <w:pPr>
              <w:spacing w:after="40" w:before="40" w:line="271" w:lineRule="auto"/>
              <w:jc w:val="center"/>
            </w:pPr>
            <w:r>
              <w:rPr>
                <w:b/>
                <w:sz w:val="21"/>
              </w:rPr>
              <w:t>应对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相关人群或近期品牌购买者发生率低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加样成本与时长超出预期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试招验证；调整来源或缩小用户诊断范围，保留来源分层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历史材料含过时事实或仅单一语言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范围和题意被错误迁移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原始来源重验、当地语言复核，记录不能复用的部分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只招品牌粉丝或会员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品牌接受与推荐被高估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基础样本独立招募；品牌加样分开；保留低兴趣和拒绝案例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不同国家对同一概念理解不同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跨国排序失真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认知测试与测量检查；不满足可比性时分国解释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刺激物同时改变多个因素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无法判断单一元素作用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明确比较整套方案；需要拆解时另设实验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加样直接并入总体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品牌渗透和人群规模失真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保留样本层；不同指标使用不同基数与权重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分群不稳定或关键单元太小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画像无法识别、建议难落地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验证稳定性；合并、改报场景画像或补样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推荐/意向被当作实际增长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投入回报被高估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后续用业务数据及对照试点验证，不作未经支持的预测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资料或执行资源迟延</w:t>
            </w:r>
          </w:p>
        </w:tc>
        <w:tc>
          <w:tcPr>
            <w:tcW w:type="dxa" w:w="3853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排期无法实现</w:t>
            </w:r>
          </w:p>
        </w:tc>
        <w:tc>
          <w:tcPr>
            <w:tcW w:type="dxa" w:w="3951"/>
            <w:vAlign w:val="center"/>
          </w:tcPr>
          <w:p>
            <w:pPr>
              <w:spacing w:after="40" w:before="40" w:line="271" w:lineRule="auto"/>
            </w:pPr>
            <w:r>
              <w:rPr>
                <w:b w:val="0"/>
                <w:sz w:val="21"/>
              </w:rPr>
              <w:t>明确依赖、审阅窗口和调整机制，先完成不受影响工作</w:t>
            </w:r>
          </w:p>
        </w:tc>
      </w:tr>
    </w:tbl>
    <w:p>
      <w:pPr>
        <w:spacing w:after="40" w:before="0" w:line="96" w:lineRule="auto"/>
      </w:pPr>
    </w:p>
    <w:p>
      <w:pPr>
        <w:pStyle w:val="Heading1"/>
      </w:pPr>
      <w:r>
        <w:t>十七 启动前需要确认的事项</w:t>
      </w:r>
    </w:p>
    <w:p>
      <w:r>
        <w:t>这份大纲可用于内部讨论。正式执行前应确认国家与市场优先级、经营决策窗口、最终品类总体、可用业务数据、研究资源、供应商可行性与报价、语言范围、门店访问条件、主要比较及主张刺激。本案例另附54个节点的中文主问卷与同版码表。它们已完成宿主设计审阅和显式分支检查；正式项目仍需根据定性发现修改、本地化、平台测程和预试。</w:t>
      </w:r>
    </w:p>
    <w:p>
      <w:r>
        <w:t>下一步建议先评审 D01 至 D06 是否覆盖真实商业目标，以及哪些经营杠杆能够被调整。随后据此冻结方案范围，并使用配套工具稿开展本地化和平台预试。若真实 brief 改变，保留本稿作为案例版本 1.0，并记录变更对样本、方法、成本和排期的影响。</w:t>
      </w:r>
    </w:p>
    <w:p>
      <w:pPr>
        <w:pStyle w:val="Heading1"/>
      </w:pPr>
      <w:r>
        <w:t>十八 配套案例与交付范围</w:t>
      </w:r>
    </w:p>
    <w:p>
      <w:r>
        <w:t>本案例附中文问卷规范、长表Datamap、开放题编码框架、定性访谈指南、编程交接说明及分析计划。系统字段和实验分配在合成路径中提供；不宣称已经部署调查平台或采集真实数据。</w:t>
      </w:r>
    </w:p>
    <w:p>
      <w:r>
        <w:t>方案中的数量用于规划，不是市场规模、代表性保证或研究发现。案例没有真实受访者答案，不包含客户资料或内部模板。具体方法是否适合某项商业决策，应在真实brief和执行条件下重新审阅。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案例 1.0　|　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北美零售增长研究　虚构设计示例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80" w:line="283" w:lineRule="auto"/>
      <w:outlineLvl w:val="0"/>
    </w:pPr>
    <w:rPr>
      <w:rFonts w:ascii="Arial" w:hAnsi="Arial" w:eastAsia="Song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80" w:line="283" w:lineRule="auto"/>
      <w:outlineLvl w:val="1"/>
    </w:pPr>
    <w:rPr>
      <w:rFonts w:ascii="Arial" w:hAnsi="Arial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00" w:after="180" w:line="283" w:lineRule="auto"/>
      <w:outlineLvl w:val="2"/>
    </w:pPr>
    <w:rPr>
      <w:rFonts w:ascii="Arial" w:hAnsi="Arial" w:eastAsia="Song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80" w:line="283" w:lineRule="auto"/>
      <w:contextualSpacing/>
    </w:pPr>
    <w:rPr>
      <w:rFonts w:ascii="Arial" w:hAnsi="Arial" w:eastAsia="Songti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83" w:lineRule="auto" w:after="180"/>
    </w:pPr>
    <w:rPr>
      <w:rFonts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生活方式零售品牌北美增长研究示例</dc:title>
  <dc:subject>Fictional design example; no fieldwork findings</dc:subject>
  <dc:creator>Research Workflow Skills</dc:creator>
  <cp:keywords>研究设计 定性 定量 北美 虚构案例</cp:keywords>
  <dc:description/>
  <cp:lastModifiedBy>Research Workflow Skills</cp:lastModifiedBy>
  <cp:revision>1</cp:revision>
  <dcterms:created xsi:type="dcterms:W3CDTF">2026-09-09T00:00:00Z</dcterms:created>
  <dcterms:modified xsi:type="dcterms:W3CDTF">2026-09-09T00:00:00Z</dcterms:modified>
  <cp:category/>
</cp:coreProperties>
</file>