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/09/24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Spr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F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 Formulario de Registro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 Inicio de Sesión a la aplicación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una funcionalidad que permita actualizar la información personal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actividades se completaron el día 17/09/2024, lo cual nos indica que se cumplió con lo establecido.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determinado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Código con dificil lectura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Fallas en la visualización de las interfaces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Diseño no tan atractivo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Revisión y mejora de código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Pruebas de funcionamiento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Aplicación de correcciones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TYzzXsa/9O0Cm1/SEbfayIbBw==">CgMxLjAyCGguZ2pkZ3hzOAByITFSOGpMdHluU29rbEo4aUROTGlSTkxPSDZsUXk1TllUVg==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