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color w:val="1F5C4A"/>
          <w:sz w:val="44"/>
          <w:szCs w:val="44"/>
        </w:rPr>
        <w:t xml:space="preserve">GHANA HOSPITAL MANAGEMENT SYSTEM</w:t>
      </w:r>
    </w:p>
    <w:p>
      <w:pPr>
        <w:spacing w:after="100" w:before="200"/>
        <w:jc w:val="center"/>
      </w:pPr>
      <w:r>
        <w:rPr>
          <w:b/>
          <w:bCs/>
          <w:color w:val="444444"/>
          <w:sz w:val="28"/>
          <w:szCs w:val="28"/>
        </w:rPr>
        <w:t xml:space="preserve">System Design Document — Version 2.0</w:t>
      </w:r>
    </w:p>
    <w:p>
      <w:pPr>
        <w:spacing w:after="100"/>
        <w:jc w:val="center"/>
      </w:pPr>
      <w:r>
        <w:rPr>
          <w:i/>
          <w:iCs/>
          <w:color w:val="B8860B"/>
          <w:sz w:val="20"/>
          <w:szCs w:val="20"/>
        </w:rPr>
        <w:t xml:space="preserve">Full Hospital Operating Model — Aligned to Ghana MoH / GHS / NHIA Structure</w:t>
      </w:r>
    </w:p>
    <w:p>
      <w:pPr>
        <w:spacing w:after="500"/>
        <w:jc w:val="center"/>
      </w:pPr>
      <w:r>
        <w:rPr>
          <w:color w:val="888888"/>
          <w:sz w:val="18"/>
          <w:szCs w:val="18"/>
        </w:rPr>
        <w:t xml:space="preserve">Supersedes Version 1.0 (14-module OPD-centric design)</w:t>
      </w:r>
    </w:p>
    <w:p>
      <w:pPr>
        <w:jc w:val="center"/>
      </w:pPr>
      <w:r>
        <w:rPr>
          <w:color w:val="888888"/>
          <w:sz w:val="18"/>
          <w:szCs w:val="18"/>
        </w:rPr>
        <w:t xml:space="preserve">Version 2.0 • Draft for Review</w:t>
      </w:r>
    </w:p>
    <w:p>
      <w:r>
        <w:br w:type="page"/>
      </w:r>
    </w:p>
    <w:p>
      <w:pPr>
        <w:pStyle w:val="Heading1"/>
        <w:spacing w:after="180" w:before="380"/>
      </w:pPr>
      <w:r>
        <w:t xml:space="preserve">1. Why This Revision</w:t>
      </w:r>
    </w:p>
    <w:p>
      <w:pPr>
        <w:spacing w:after="140"/>
      </w:pPr>
      <w:r>
        <w:t xml:space="preserve">Version 1.0 modeled the system primarily around a single outpatient flow: Reception → Nurse → Doctor → Lab → Pharmacy. Research into how Ghanaian healthcare is actually structured — drawing on Ministry of Health (MoH), Ghana Health Service (GHS), and National Health Insurance Authority (NHIA) material — shows a hospital is a much larger operating system: clinical care, registration, medical records, laboratory, imaging, pharmacy, wards, theatre, emergency, referrals, finance, NHIS, procurement, stores, HR, and reporting all running simultaneously and feeding into each other.</w:t>
      </w:r>
    </w:p>
    <w:p>
      <w:pPr>
        <w:spacing w:after="140"/>
      </w:pPr>
      <w:r>
        <w:t xml:space="preserve">This version restructures the design around that fuller picture, while preserving everything already built out in detail for the core outpatient modules (Modules 1–7 in the previous documents remain valid and are re-numbered/re-mapped below, not discarded).</w:t>
      </w:r>
    </w:p>
    <w:p>
      <w:pPr>
        <w:pStyle w:val="Heading1"/>
        <w:spacing w:after="180" w:before="380"/>
      </w:pPr>
      <w:r>
        <w:t xml:space="preserve">2. How Ghana's Healthcare System Is Structured</w:t>
      </w:r>
    </w:p>
    <w:p>
      <w:pPr>
        <w:spacing w:after="140"/>
      </w:pPr>
      <w:r>
        <w:t xml:space="preserve">Care is organized in levels, and the system must reflect that a patient's journey can start and be handled at any level, with referral moving patients both up and back down the chain once the reason for referral has been addressed: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PATIENT /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CHPS COMPOUND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HEALTH CENTRE / CLINIC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DISTRICT HOSPITAL  (primary care)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REGIONAL HOSPITAL  (secondary / referral care)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TEACHING / SPECIALIST HOSPITAL  (tertiary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referral back down once resolved ==</w:t>
            </w:r>
          </w:p>
        </w:tc>
      </w:tr>
    </w:tbl>
    <w:p>
      <w:pPr>
        <w:spacing w:after="140"/>
      </w:pPr>
      <w:r>
        <w:t xml:space="preserve">Private, mission/CHAG, quasi-government, and other providers operate alongside government facilities, regulated by the Health Facilities Regulatory Agency (HeFRA). This means the system should be deployable at any single level of this chain, while still being able to send and receive referrals to and from the levels above and below it.</w:t>
      </w:r>
    </w:p>
    <w:p>
      <w:r>
        <w:br w:type="page"/>
      </w:r>
    </w:p>
    <w:p>
      <w:pPr>
        <w:pStyle w:val="Heading1"/>
        <w:spacing w:after="180" w:before="380"/>
      </w:pPr>
      <w:r>
        <w:t xml:space="preserve">3. Core Architectural Correction: Patient vs. Encounter</w:t>
      </w:r>
    </w:p>
    <w:p>
      <w:pPr>
        <w:spacing w:after="140"/>
      </w:pPr>
      <w:r>
        <w:t xml:space="preserve">The single most important structural change in this revision is separating who a patient is from what is happening to them right now. Version 1 already kept clinical data off the Patient record (Module 2's design), but this revision makes the distinction an explicit, named entity so every other module attaches to it consistently.</w:t>
      </w:r>
    </w:p>
    <w:p>
      <w:pPr>
        <w:pStyle w:val="Heading2"/>
        <w:spacing w:after="120" w:before="260"/>
      </w:pPr>
      <w:r>
        <w:t xml:space="preserve">3.1 Patient — Permanent Identity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PATIENT</w:t>
            </w:r>
          </w:p>
          <w:p>
            <w:r>
              <w:rPr>
                <w:rFonts w:ascii="Courier New" w:cs="Courier New" w:eastAsia="Courier New" w:hAnsi="Courier New"/>
                <w:sz w:val="18"/>
                <w:szCs w:val="18"/>
              </w:rPr>
              <w:t xml:space="preserve">  Patient ID (permanent, facility-issued)</w:t>
            </w:r>
          </w:p>
          <w:p>
            <w:r>
              <w:rPr>
                <w:rFonts w:ascii="Courier New" w:cs="Courier New" w:eastAsia="Courier New" w:hAnsi="Courier New"/>
                <w:sz w:val="18"/>
                <w:szCs w:val="18"/>
              </w:rPr>
              <w:t xml:space="preserve">  Ghana Card / national ID reference (where available)</w:t>
            </w:r>
          </w:p>
          <w:p>
            <w:r>
              <w:rPr>
                <w:rFonts w:ascii="Courier New" w:cs="Courier New" w:eastAsia="Courier New" w:hAnsi="Courier New"/>
                <w:sz w:val="18"/>
                <w:szCs w:val="18"/>
              </w:rPr>
              <w:t xml:space="preserve">  Full name, DOB/estimated age, sex</w:t>
            </w:r>
          </w:p>
          <w:p>
            <w:r>
              <w:rPr>
                <w:rFonts w:ascii="Courier New" w:cs="Courier New" w:eastAsia="Courier New" w:hAnsi="Courier New"/>
                <w:sz w:val="18"/>
                <w:szCs w:val="18"/>
              </w:rPr>
              <w:t xml:space="preserve">  Phone, address, next of kin</w:t>
            </w:r>
          </w:p>
          <w:p>
            <w:r>
              <w:rPr>
                <w:rFonts w:ascii="Courier New" w:cs="Courier New" w:eastAsia="Courier New" w:hAnsi="Courier New"/>
                <w:sz w:val="18"/>
                <w:szCs w:val="18"/>
              </w:rPr>
              <w:t xml:space="preserve">  NHIS information (historical, not overwritten)</w:t>
            </w:r>
          </w:p>
          <w:p>
            <w:r>
              <w:rPr>
                <w:rFonts w:ascii="Courier New" w:cs="Courier New" w:eastAsia="Courier New" w:hAnsi="Courier New"/>
                <w:sz w:val="18"/>
                <w:szCs w:val="18"/>
              </w:rPr>
              <w:t xml:space="preserve">  Longitudinal medical record</w:t>
            </w:r>
          </w:p>
        </w:tc>
      </w:tr>
    </w:tbl>
    <w:p>
      <w:pPr>
        <w:pStyle w:val="Heading2"/>
        <w:spacing w:after="120" w:before="260"/>
      </w:pPr>
      <w:r>
        <w:t xml:space="preserve">3.2 Encounter — One Attendance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ENCOUNTER</w:t>
            </w:r>
          </w:p>
          <w:p>
            <w:r>
              <w:rPr>
                <w:rFonts w:ascii="Courier New" w:cs="Courier New" w:eastAsia="Courier New" w:hAnsi="Courier New"/>
                <w:sz w:val="18"/>
                <w:szCs w:val="18"/>
              </w:rPr>
              <w:t xml:space="preserve">  Encounter ID</w:t>
            </w:r>
          </w:p>
          <w:p>
            <w:r>
              <w:rPr>
                <w:rFonts w:ascii="Courier New" w:cs="Courier New" w:eastAsia="Courier New" w:hAnsi="Courier New"/>
                <w:sz w:val="18"/>
                <w:szCs w:val="18"/>
              </w:rPr>
              <w:t xml:space="preserve">  Patient ID (link)</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Department</w:t>
            </w:r>
          </w:p>
          <w:p>
            <w:r>
              <w:rPr>
                <w:rFonts w:ascii="Courier New" w:cs="Courier New" w:eastAsia="Courier New" w:hAnsi="Courier New"/>
                <w:sz w:val="18"/>
                <w:szCs w:val="18"/>
              </w:rPr>
              <w:t xml:space="preserve">  Type: OPD | Emergency | Antenatal | Admission | Follow-up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patient can have many encounters:</w:t>
            </w:r>
          </w:p>
          <w:p>
            <w:r>
              <w:rPr>
                <w:rFonts w:ascii="Courier New" w:cs="Courier New" w:eastAsia="Courier New" w:hAnsi="Courier New"/>
                <w:sz w:val="18"/>
                <w:szCs w:val="18"/>
              </w:rPr>
              <w:t xml:space="preserve">  ENC-001 -&gt; OPD</w:t>
            </w:r>
          </w:p>
          <w:p>
            <w:r>
              <w:rPr>
                <w:rFonts w:ascii="Courier New" w:cs="Courier New" w:eastAsia="Courier New" w:hAnsi="Courier New"/>
                <w:sz w:val="18"/>
                <w:szCs w:val="18"/>
              </w:rPr>
              <w:t xml:space="preserve">  ENC-002 -&gt; Emergency</w:t>
            </w:r>
          </w:p>
          <w:p>
            <w:r>
              <w:rPr>
                <w:rFonts w:ascii="Courier New" w:cs="Courier New" w:eastAsia="Courier New" w:hAnsi="Courier New"/>
                <w:sz w:val="18"/>
                <w:szCs w:val="18"/>
              </w:rPr>
              <w:t xml:space="preserve">  ENC-003 -&gt; Antenatal</w:t>
            </w:r>
          </w:p>
          <w:p>
            <w:r>
              <w:rPr>
                <w:rFonts w:ascii="Courier New" w:cs="Courier New" w:eastAsia="Courier New" w:hAnsi="Courier New"/>
                <w:sz w:val="18"/>
                <w:szCs w:val="18"/>
              </w:rPr>
              <w:t xml:space="preserve">  ENC-004 -&gt; Admission</w:t>
            </w:r>
          </w:p>
          <w:p>
            <w:r>
              <w:rPr>
                <w:rFonts w:ascii="Courier New" w:cs="Courier New" w:eastAsia="Courier New" w:hAnsi="Courier New"/>
                <w:sz w:val="18"/>
                <w:szCs w:val="18"/>
              </w:rPr>
              <w:t xml:space="preserve">  ENC-005 -&gt; Follow-up</w:t>
            </w:r>
          </w:p>
        </w:tc>
      </w:tr>
    </w:tbl>
    <w:p>
      <w:pPr>
        <w:spacing w:after="140"/>
      </w:pPr>
      <w:r>
        <w:t xml:space="preserve">Every clinical, billing, lab, imaging, and pharmacy record in the system attaches to an Encounter, never directly to a Patient. This is what makes the longitudinal record possible while keeping each visit's data cleanly scoped.</w:t>
      </w:r>
    </w:p>
    <w:p>
      <w:r>
        <w:br w:type="page"/>
      </w:r>
    </w:p>
    <w:p>
      <w:pPr>
        <w:pStyle w:val="Heading1"/>
        <w:spacing w:after="180" w:before="380"/>
      </w:pPr>
      <w:r>
        <w:t xml:space="preserve">4. Entry Points Into the System</w:t>
      </w:r>
    </w:p>
    <w:p>
      <w:pPr>
        <w:spacing w:after="140"/>
      </w:pPr>
      <w:r>
        <w:t xml:space="preserve">Version 1 treated Reception/OPD as the only entry point. In practice there are three, each with a different opening sequence, and the system must support all three as first-class paths rather than variations bolted onto OPD.</w:t>
      </w:r>
    </w:p>
    <w:p>
      <w:pPr>
        <w:pStyle w:val="Heading2"/>
        <w:spacing w:after="120" w:before="260"/>
      </w:pPr>
      <w:r>
        <w:t xml:space="preserve">4.1 Entry Point A — Normal OPD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Registration -&gt; Identification -&gt; NHIS/payment check -&gt; Triage</w:t>
            </w:r>
          </w:p>
          <w:p>
            <w:r>
              <w:rPr>
                <w:rFonts w:ascii="Courier New" w:cs="Courier New" w:eastAsia="Courier New" w:hAnsi="Courier New"/>
                <w:sz w:val="18"/>
                <w:szCs w:val="18"/>
              </w:rPr>
              <w:t xml:space="preserve">  -&gt; Queue -&gt; Nurse/Clinician -&gt; Doctor -&gt; Diagnosis/treatment decision</w:t>
            </w:r>
          </w:p>
          <w:p>
            <w:r>
              <w:rPr>
                <w:rFonts w:ascii="Courier New" w:cs="Courier New" w:eastAsia="Courier New" w:hAnsi="Courier New"/>
                <w:sz w:val="18"/>
                <w:szCs w:val="18"/>
              </w:rPr>
              <w:t xml:space="preserve">  -&gt; [ Lab | Imaging | Pharmacy | Admission ] (any combination)</w:t>
            </w:r>
          </w:p>
          <w:p>
            <w:r>
              <w:rPr>
                <w:rFonts w:ascii="Courier New" w:cs="Courier New" w:eastAsia="Courier New" w:hAnsi="Courier New"/>
                <w:sz w:val="18"/>
                <w:szCs w:val="18"/>
              </w:rPr>
              <w:t xml:space="preserve">  -&gt; Discharge / follow-up</w:t>
            </w:r>
          </w:p>
        </w:tc>
      </w:tr>
    </w:tbl>
    <w:p>
      <w:pPr>
        <w:pStyle w:val="Heading2"/>
        <w:spacing w:after="120" w:before="260"/>
      </w:pPr>
      <w:r>
        <w:t xml:space="preserve">4.2 Entry Point B — Emergency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Emergency arrival -&gt; Immediate triage -&gt; Emergency assessment</w:t>
            </w:r>
          </w:p>
          <w:p>
            <w:r>
              <w:rPr>
                <w:rFonts w:ascii="Courier New" w:cs="Courier New" w:eastAsia="Courier New" w:hAnsi="Courier New"/>
                <w:sz w:val="18"/>
                <w:szCs w:val="18"/>
              </w:rPr>
              <w:t xml:space="preserve">  -&gt; Stabilization -&gt; Investigation -&gt; Treatment</w:t>
            </w:r>
          </w:p>
          <w:p>
            <w:r>
              <w:rPr>
                <w:rFonts w:ascii="Courier New" w:cs="Courier New" w:eastAsia="Courier New" w:hAnsi="Courier New"/>
                <w:sz w:val="18"/>
                <w:szCs w:val="18"/>
              </w:rPr>
              <w:t xml:space="preserve">  -&gt; [ Discharge | Admission | Referral ]</w:t>
            </w:r>
          </w:p>
        </w:tc>
      </w:tr>
    </w:tbl>
    <w:p>
      <w:pPr>
        <w:spacing w:after="140"/>
      </w:pPr>
      <w:r>
        <w:t xml:space="preserve">Registration for an emergency arrival can happen in parallel with or immediately after stabilization — documentation never gates emergency care (this principle already existed in Version 1's Module 3 design and now extends formally to a dedicated Emergency module).</w:t>
      </w:r>
    </w:p>
    <w:p>
      <w:pPr>
        <w:pStyle w:val="Heading2"/>
        <w:spacing w:after="120" w:before="260"/>
      </w:pPr>
      <w:r>
        <w:t xml:space="preserve">4.3 Entry Point C — Referral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Referring facility (CHPS/Clinic/District Hospital)</w:t>
            </w:r>
          </w:p>
          <w:p>
            <w:r>
              <w:rPr>
                <w:rFonts w:ascii="Courier New" w:cs="Courier New" w:eastAsia="Courier New" w:hAnsi="Courier New"/>
                <w:sz w:val="18"/>
                <w:szCs w:val="18"/>
              </w:rPr>
              <w:t xml:space="preserve">  -&gt; Referral decision -&gt; Referral documentation</w:t>
            </w:r>
          </w:p>
          <w:p>
            <w:r>
              <w:rPr>
                <w:rFonts w:ascii="Courier New" w:cs="Courier New" w:eastAsia="Courier New" w:hAnsi="Courier New"/>
                <w:sz w:val="18"/>
                <w:szCs w:val="18"/>
              </w:rPr>
              <w:t xml:space="preserve">  -&gt; Transport/patient travel -&gt; Receiving hospital</w:t>
            </w:r>
          </w:p>
          <w:p>
            <w:r>
              <w:rPr>
                <w:rFonts w:ascii="Courier New" w:cs="Courier New" w:eastAsia="Courier New" w:hAnsi="Courier New"/>
                <w:sz w:val="18"/>
                <w:szCs w:val="18"/>
              </w:rPr>
              <w:t xml:space="preserve">  -&gt; Emergency / OPD / specialist intake</w:t>
            </w:r>
          </w:p>
          <w:p>
            <w:r>
              <w:rPr>
                <w:rFonts w:ascii="Courier New" w:cs="Courier New" w:eastAsia="Courier New" w:hAnsi="Courier New"/>
                <w:sz w:val="18"/>
                <w:szCs w:val="18"/>
              </w:rPr>
              <w:t xml:space="preserve">  -&gt; Treatment -&gt; Return referral or discharge</w:t>
            </w:r>
          </w:p>
        </w:tc>
      </w:tr>
    </w:tbl>
    <w:p>
      <w:pPr>
        <w:spacing w:after="140"/>
      </w:pPr>
      <w:r>
        <w:t xml:space="preserve">Ghana's referral guidelines explicitly recognize pre-hospital emergency referrals, inter-facility referrals, and internal referrals between departments or units within a single facility. The system must model referral at both scales: hospital-to-hospital, and department-to-department inside one facility (e.g. “OPD refers to Surgery,” “Medical Ward refers to Physiotherapy”) — not just the external case.</w:t>
      </w:r>
    </w:p>
    <w:p>
      <w:r>
        <w:br w:type="page"/>
      </w:r>
    </w:p>
    <w:p>
      <w:pPr>
        <w:pStyle w:val="Heading1"/>
        <w:spacing w:after="180" w:before="380"/>
      </w:pPr>
      <w:r>
        <w:t xml:space="preserve">5. Billing and NHIS Are Two Related but Separate Workflows</w:t>
      </w:r>
    </w:p>
    <w:p>
      <w:pPr>
        <w:spacing w:after="140"/>
      </w:pPr>
      <w:r>
        <w:t xml:space="preserve">Version 1 treated NHIS largely as a payment-method flag on billing. This understates it: NHIS is its own multi-stage workflow with its own national system, and a single visit can mix NHIS-covered and cash-payable items.</w:t>
      </w:r>
    </w:p>
    <w:p>
      <w:pPr>
        <w:pStyle w:val="Heading2"/>
        <w:spacing w:after="120" w:before="260"/>
      </w:pPr>
      <w:r>
        <w:t xml:space="preserve">5.1 NHIS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NHIS verification -&gt; Eligible? -&gt; Yes</w:t>
            </w:r>
          </w:p>
          <w:p>
            <w:r>
              <w:rPr>
                <w:rFonts w:ascii="Courier New" w:cs="Courier New" w:eastAsia="Courier New" w:hAnsi="Courier New"/>
                <w:sz w:val="18"/>
                <w:szCs w:val="18"/>
              </w:rPr>
              <w:t xml:space="preserve">  -&gt; Covered services identified -&gt; Service delivered</w:t>
            </w:r>
          </w:p>
          <w:p>
            <w:r>
              <w:rPr>
                <w:rFonts w:ascii="Courier New" w:cs="Courier New" w:eastAsia="Courier New" w:hAnsi="Courier New"/>
                <w:sz w:val="18"/>
                <w:szCs w:val="18"/>
              </w:rPr>
              <w:t xml:space="preserve">  -&gt; Claim generated -&gt; Claim validated -&gt; Submitted</w:t>
            </w:r>
          </w:p>
          <w:p>
            <w:r>
              <w:rPr>
                <w:rFonts w:ascii="Courier New" w:cs="Courier New" w:eastAsia="Courier New" w:hAnsi="Courier New"/>
                <w:sz w:val="18"/>
                <w:szCs w:val="18"/>
              </w:rPr>
              <w:t xml:space="preserve">  -&gt; Vetting -&gt; Payment</w:t>
            </w:r>
          </w:p>
        </w:tc>
      </w:tr>
    </w:tbl>
    <w:p>
      <w:pPr>
        <w:spacing w:after="140"/>
      </w:pPr>
      <w:r>
        <w:t xml:space="preserve">The NHIA's CLAIM-it system is built specifically for credentialed providers to generate and submit electronically validated claims, can operate offline, and can integrate with an existing hospital management system — the NHIA Provider Portal then gives visibility into submission, vetting, and payment status. The NHIA's electronic Health Facility Attendance Management System (NeHFAMS) further shows that attendance/eligibility verification is itself a distinct operational step the system should model explicitly, not assume away.</w:t>
      </w:r>
    </w:p>
    <w:p>
      <w:pPr>
        <w:pStyle w:val="Heading2"/>
        <w:spacing w:after="120" w:before="260"/>
      </w:pPr>
      <w:r>
        <w:t xml:space="preserve">5.2 Cash / Private Payment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Service -&gt; Charge -&gt; Invoice -&gt; Payment -&gt; Receipt</w:t>
            </w:r>
          </w:p>
        </w:tc>
      </w:tr>
    </w:tbl>
    <w:p>
      <w:pPr>
        <w:pStyle w:val="Heading2"/>
        <w:spacing w:after="120" w:before="260"/>
      </w:pPr>
      <w:r>
        <w:t xml:space="preserve">5.3 Mixed Payment — The Common Real Case</w:t>
      </w:r>
    </w:p>
    <w:p>
      <w:pPr>
        <w:spacing w:after="140"/>
      </w:pPr>
      <w:r>
        <w:t xml:space="preserve">A single encounter routinely contains an NHIS-covered service plus a non-covered service plus a cash payment on top. Billing architecture must calculate this per line item, not assume one payer for the whole visit — this was already specified in Version 1's Billing module and is reinforced here as a hard design constraint, not an edge case.</w:t>
      </w:r>
    </w:p>
    <w:p>
      <w:r>
        <w:br w:type="page"/>
      </w:r>
    </w:p>
    <w:p>
      <w:pPr>
        <w:pStyle w:val="Heading1"/>
        <w:spacing w:after="180" w:before="380"/>
      </w:pPr>
      <w:r>
        <w:t xml:space="preserve">6. System Architecture — The Shared Backbone</w:t>
      </w:r>
    </w:p>
    <w:p>
      <w:pPr>
        <w:spacing w:after="140"/>
      </w:pPr>
      <w:r>
        <w:t xml:space="preserve">Rather than each module talking directly to every other module, all modules connect through one backbone: Patient → Encounter → Clinical activity → Orders → Results → Treatment → Financial/insurance processing → Outcome.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Identity          Patient          Encounter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Nurse     Doctor      Lab    Pharmacy   Radiology</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Admission / Beds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Discharge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Billing                  NHIS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Reporting</w:t>
            </w:r>
          </w:p>
        </w:tc>
      </w:tr>
    </w:tbl>
    <w:p>
      <w:pPr>
        <w:spacing w:after="140"/>
      </w:pPr>
      <w:r>
        <w:t xml:space="preserve">Two structural principles fall out of this diagram: every clinical, ordering, and financial module reads and writes against a Patient's current Encounter, never against the Patient directly; and Billing and NHIS run as parallel, connected processes off the same Encounter data, not a single combined “payment” step.</w:t>
      </w:r>
    </w:p>
    <w:p>
      <w:r>
        <w:br w:type="page"/>
      </w:r>
    </w:p>
    <w:p>
      <w:pPr>
        <w:pStyle w:val="Heading1"/>
        <w:spacing w:after="180" w:before="380"/>
      </w:pPr>
      <w:r>
        <w:t xml:space="preserve">7. Complete Module List (21 Modules)</w:t>
      </w:r>
    </w:p>
    <w:p>
      <w:pPr>
        <w:spacing w:after="140"/>
      </w:pPr>
      <w:r>
        <w:t xml:space="preserve">This replaces Version 1's 14-module list. Modules 1–7 map directly onto the deep-dive designs already produced (Core, Patient Registry → Patient Management, Front Desk → folded into Encounters, Triage, Clinical/Doctor, Laboratory, Pharmacy); those detailed designs remain valid. Modules 8 and 10–21 are new or newly separated out and will need their own deep-dive passes.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2700"/>
      </w:tblGrid>
      <w:tr>
        <w:trPr>
          <w:tblHeader/>
        </w:trPr>
        <w:tc>
          <w:tcPr>
            <w:tcW w:type="dxa" w:w="500"/>
            <w:shd w:fill="1F5C4A" w:color="auto" w:val="clear"/>
            <w:tcMar>
              <w:top w:type="dxa" w:w="70"/>
              <w:left w:type="dxa" w:w="100"/>
              <w:bottom w:type="dxa" w:w="70"/>
              <w:right w:type="dxa" w:w="100"/>
            </w:tcMar>
          </w:tcPr>
          <w:p>
            <w:r>
              <w:rPr>
                <w:b/>
                <w:bCs/>
                <w:color w:val="FFFFFF"/>
              </w:rPr>
              <w:t xml:space="preserve">#</w:t>
            </w:r>
          </w:p>
        </w:tc>
        <w:tc>
          <w:tcPr>
            <w:tcW w:type="dxa" w:w="2000"/>
            <w:shd w:fill="1F5C4A" w:color="auto" w:val="clear"/>
            <w:tcMar>
              <w:top w:type="dxa" w:w="70"/>
              <w:left w:type="dxa" w:w="100"/>
              <w:bottom w:type="dxa" w:w="70"/>
              <w:right w:type="dxa" w:w="100"/>
            </w:tcMar>
          </w:tcPr>
          <w:p>
            <w:r>
              <w:rPr>
                <w:b/>
                <w:bCs/>
                <w:color w:val="FFFFFF"/>
              </w:rPr>
              <w:t xml:space="preserve">Module</w:t>
            </w:r>
          </w:p>
        </w:tc>
        <w:tc>
          <w:tcPr>
            <w:tcW w:type="dxa" w:w="3800"/>
            <w:shd w:fill="1F5C4A" w:color="auto" w:val="clear"/>
            <w:tcMar>
              <w:top w:type="dxa" w:w="70"/>
              <w:left w:type="dxa" w:w="100"/>
              <w:bottom w:type="dxa" w:w="70"/>
              <w:right w:type="dxa" w:w="100"/>
            </w:tcMar>
          </w:tcPr>
          <w:p>
            <w:r>
              <w:rPr>
                <w:b/>
                <w:bCs/>
                <w:color w:val="FFFFFF"/>
              </w:rPr>
              <w:t xml:space="preserve">Covers</w:t>
            </w:r>
          </w:p>
        </w:tc>
        <w:tc>
          <w:tcPr>
            <w:tcW w:type="dxa" w:w="2700"/>
            <w:shd w:fill="1F5C4A" w:color="auto" w:val="clear"/>
            <w:tcMar>
              <w:top w:type="dxa" w:w="70"/>
              <w:left w:type="dxa" w:w="100"/>
              <w:bottom w:type="dxa" w:w="70"/>
              <w:right w:type="dxa" w:w="100"/>
            </w:tcMar>
          </w:tcPr>
          <w:p>
            <w:r>
              <w:rPr>
                <w:b/>
                <w:bCs/>
                <w:color w:val="FFFFFF"/>
              </w:rPr>
              <w:t xml:space="preserve">Relationship to Version 1</w:t>
            </w:r>
          </w:p>
        </w:tc>
      </w:tr>
      <w:tr>
        <w:tc>
          <w:tcPr>
            <w:tcW w:type="dxa" w:w="500"/>
            <w:tcMar>
              <w:top w:type="dxa" w:w="70"/>
              <w:left w:type="dxa" w:w="100"/>
              <w:bottom w:type="dxa" w:w="70"/>
              <w:right w:type="dxa" w:w="100"/>
            </w:tcMar>
          </w:tcPr>
          <w:p>
            <w:r>
              <w:rPr>
                <w:b w:val="false"/>
                <w:bCs w:val="false"/>
              </w:rPr>
              <w:t xml:space="preserve">1</w:t>
            </w:r>
          </w:p>
        </w:tc>
        <w:tc>
          <w:tcPr>
            <w:tcW w:type="dxa" w:w="2000"/>
            <w:tcMar>
              <w:top w:type="dxa" w:w="70"/>
              <w:left w:type="dxa" w:w="100"/>
              <w:bottom w:type="dxa" w:w="70"/>
              <w:right w:type="dxa" w:w="100"/>
            </w:tcMar>
          </w:tcPr>
          <w:p>
            <w:r>
              <w:rPr>
                <w:b w:val="false"/>
                <w:bCs w:val="false"/>
              </w:rPr>
              <w:t xml:space="preserve">Core / Identity &amp; Access</w:t>
            </w:r>
          </w:p>
        </w:tc>
        <w:tc>
          <w:tcPr>
            <w:tcW w:type="dxa" w:w="3800"/>
            <w:tcMar>
              <w:top w:type="dxa" w:w="70"/>
              <w:left w:type="dxa" w:w="100"/>
              <w:bottom w:type="dxa" w:w="70"/>
              <w:right w:type="dxa" w:w="100"/>
            </w:tcMar>
          </w:tcPr>
          <w:p>
            <w:r>
              <w:rPr>
                <w:b w:val="false"/>
                <w:bCs w:val="false"/>
              </w:rPr>
              <w:t xml:space="preserve">Users, roles, permissions, departments, staff, authentication, audit logs.</w:t>
            </w:r>
          </w:p>
        </w:tc>
        <w:tc>
          <w:tcPr>
            <w:tcW w:type="dxa" w:w="2700"/>
            <w:tcMar>
              <w:top w:type="dxa" w:w="70"/>
              <w:left w:type="dxa" w:w="100"/>
              <w:bottom w:type="dxa" w:w="70"/>
              <w:right w:type="dxa" w:w="100"/>
            </w:tcMar>
          </w:tcPr>
          <w:p>
            <w:r>
              <w:rPr>
                <w:b w:val="false"/>
                <w:bCs w:val="false"/>
              </w:rPr>
              <w:t xml:space="preserve">Already deep-dived (previously Module 1).</w:t>
            </w:r>
          </w:p>
        </w:tc>
      </w:tr>
      <w:tr>
        <w:tc>
          <w:tcPr>
            <w:tcW w:type="dxa" w:w="500"/>
            <w:shd w:fill="F5F5F5" w:color="auto" w:val="clear"/>
            <w:tcMar>
              <w:top w:type="dxa" w:w="70"/>
              <w:left w:type="dxa" w:w="100"/>
              <w:bottom w:type="dxa" w:w="70"/>
              <w:right w:type="dxa" w:w="100"/>
            </w:tcMar>
          </w:tcPr>
          <w:p>
            <w:r>
              <w:rPr>
                <w:b w:val="false"/>
                <w:bCs w:val="false"/>
              </w:rPr>
              <w:t xml:space="preserve">2</w:t>
            </w:r>
          </w:p>
        </w:tc>
        <w:tc>
          <w:tcPr>
            <w:tcW w:type="dxa" w:w="2000"/>
            <w:shd w:fill="F5F5F5" w:color="auto" w:val="clear"/>
            <w:tcMar>
              <w:top w:type="dxa" w:w="70"/>
              <w:left w:type="dxa" w:w="100"/>
              <w:bottom w:type="dxa" w:w="70"/>
              <w:right w:type="dxa" w:w="100"/>
            </w:tcMar>
          </w:tcPr>
          <w:p>
            <w:r>
              <w:rPr>
                <w:b w:val="false"/>
                <w:bCs w:val="false"/>
              </w:rPr>
              <w:t xml:space="preserve">Patient Management</w:t>
            </w:r>
          </w:p>
        </w:tc>
        <w:tc>
          <w:tcPr>
            <w:tcW w:type="dxa" w:w="3800"/>
            <w:shd w:fill="F5F5F5" w:color="auto" w:val="clear"/>
            <w:tcMar>
              <w:top w:type="dxa" w:w="70"/>
              <w:left w:type="dxa" w:w="100"/>
              <w:bottom w:type="dxa" w:w="70"/>
              <w:right w:type="dxa" w:w="100"/>
            </w:tcMar>
          </w:tcPr>
          <w:p>
            <w:r>
              <w:rPr>
                <w:b w:val="false"/>
                <w:bCs w:val="false"/>
              </w:rPr>
              <w:t xml:space="preserve">Patient registration, profile, identification, next of kin, search, medical record number.</w:t>
            </w:r>
          </w:p>
        </w:tc>
        <w:tc>
          <w:tcPr>
            <w:tcW w:type="dxa" w:w="2700"/>
            <w:shd w:fill="F5F5F5" w:color="auto" w:val="clear"/>
            <w:tcMar>
              <w:top w:type="dxa" w:w="70"/>
              <w:left w:type="dxa" w:w="100"/>
              <w:bottom w:type="dxa" w:w="70"/>
              <w:right w:type="dxa" w:w="100"/>
            </w:tcMar>
          </w:tcPr>
          <w:p>
            <w:r>
              <w:rPr>
                <w:b w:val="false"/>
                <w:bCs w:val="false"/>
              </w:rPr>
              <w:t xml:space="preserve">Already deep-dived (previously Module 2).</w:t>
            </w:r>
          </w:p>
        </w:tc>
      </w:tr>
      <w:tr>
        <w:tc>
          <w:tcPr>
            <w:tcW w:type="dxa" w:w="500"/>
            <w:tcMar>
              <w:top w:type="dxa" w:w="70"/>
              <w:left w:type="dxa" w:w="100"/>
              <w:bottom w:type="dxa" w:w="70"/>
              <w:right w:type="dxa" w:w="100"/>
            </w:tcMar>
          </w:tcPr>
          <w:p>
            <w:r>
              <w:rPr>
                <w:b w:val="false"/>
                <w:bCs w:val="false"/>
              </w:rPr>
              <w:t xml:space="preserve">3</w:t>
            </w:r>
          </w:p>
        </w:tc>
        <w:tc>
          <w:tcPr>
            <w:tcW w:type="dxa" w:w="2000"/>
            <w:tcMar>
              <w:top w:type="dxa" w:w="70"/>
              <w:left w:type="dxa" w:w="100"/>
              <w:bottom w:type="dxa" w:w="70"/>
              <w:right w:type="dxa" w:w="100"/>
            </w:tcMar>
          </w:tcPr>
          <w:p>
            <w:r>
              <w:rPr>
                <w:b w:val="false"/>
                <w:bCs w:val="false"/>
              </w:rPr>
              <w:t xml:space="preserve">Encounters</w:t>
            </w:r>
          </w:p>
        </w:tc>
        <w:tc>
          <w:tcPr>
            <w:tcW w:type="dxa" w:w="3800"/>
            <w:tcMar>
              <w:top w:type="dxa" w:w="70"/>
              <w:left w:type="dxa" w:w="100"/>
              <w:bottom w:type="dxa" w:w="70"/>
              <w:right w:type="dxa" w:w="100"/>
            </w:tcMar>
          </w:tcPr>
          <w:p>
            <w:r>
              <w:rPr>
                <w:b w:val="false"/>
                <w:bCs w:val="false"/>
              </w:rPr>
              <w:t xml:space="preserve">OPD, Emergency, Follow-up, and Consultation attendances; encounter history.</w:t>
            </w:r>
          </w:p>
        </w:tc>
        <w:tc>
          <w:tcPr>
            <w:tcW w:type="dxa" w:w="2700"/>
            <w:tcMar>
              <w:top w:type="dxa" w:w="70"/>
              <w:left w:type="dxa" w:w="100"/>
              <w:bottom w:type="dxa" w:w="70"/>
              <w:right w:type="dxa" w:w="100"/>
            </w:tcMar>
          </w:tcPr>
          <w:p>
            <w:r>
              <w:rPr>
                <w:b w:val="false"/>
                <w:bCs w:val="false"/>
              </w:rPr>
              <w:t xml:space="preserve">New explicit entity; formalizes what Modules 3–5 previously assumed implicitly.</w:t>
            </w:r>
          </w:p>
        </w:tc>
      </w:tr>
      <w:tr>
        <w:tc>
          <w:tcPr>
            <w:tcW w:type="dxa" w:w="500"/>
            <w:shd w:fill="F5F5F5" w:color="auto" w:val="clear"/>
            <w:tcMar>
              <w:top w:type="dxa" w:w="70"/>
              <w:left w:type="dxa" w:w="100"/>
              <w:bottom w:type="dxa" w:w="70"/>
              <w:right w:type="dxa" w:w="100"/>
            </w:tcMar>
          </w:tcPr>
          <w:p>
            <w:r>
              <w:rPr>
                <w:b w:val="false"/>
                <w:bCs w:val="false"/>
              </w:rPr>
              <w:t xml:space="preserve">4</w:t>
            </w:r>
          </w:p>
        </w:tc>
        <w:tc>
          <w:tcPr>
            <w:tcW w:type="dxa" w:w="2000"/>
            <w:shd w:fill="F5F5F5" w:color="auto" w:val="clear"/>
            <w:tcMar>
              <w:top w:type="dxa" w:w="70"/>
              <w:left w:type="dxa" w:w="100"/>
              <w:bottom w:type="dxa" w:w="70"/>
              <w:right w:type="dxa" w:w="100"/>
            </w:tcMar>
          </w:tcPr>
          <w:p>
            <w:r>
              <w:rPr>
                <w:b w:val="false"/>
                <w:bCs w:val="false"/>
              </w:rPr>
              <w:t xml:space="preserve">Triage &amp; Nursing</w:t>
            </w:r>
          </w:p>
        </w:tc>
        <w:tc>
          <w:tcPr>
            <w:tcW w:type="dxa" w:w="3800"/>
            <w:shd w:fill="F5F5F5" w:color="auto" w:val="clear"/>
            <w:tcMar>
              <w:top w:type="dxa" w:w="70"/>
              <w:left w:type="dxa" w:w="100"/>
              <w:bottom w:type="dxa" w:w="70"/>
              <w:right w:type="dxa" w:w="100"/>
            </w:tcMar>
          </w:tcPr>
          <w:p>
            <w:r>
              <w:rPr>
                <w:b w:val="false"/>
                <w:bCs w:val="false"/>
              </w:rPr>
              <w:t xml:space="preserve">Vitals, triage, nursing assessment, nursing notes, medication administration.</w:t>
            </w:r>
          </w:p>
        </w:tc>
        <w:tc>
          <w:tcPr>
            <w:tcW w:type="dxa" w:w="2700"/>
            <w:shd w:fill="F5F5F5" w:color="auto" w:val="clear"/>
            <w:tcMar>
              <w:top w:type="dxa" w:w="70"/>
              <w:left w:type="dxa" w:w="100"/>
              <w:bottom w:type="dxa" w:w="70"/>
              <w:right w:type="dxa" w:w="100"/>
            </w:tcMar>
          </w:tcPr>
          <w:p>
            <w:r>
              <w:rPr>
                <w:b w:val="false"/>
                <w:bCs w:val="false"/>
              </w:rPr>
              <w:t xml:space="preserve">Already deep-dived (previously Module 4), extended with nursing assessment/notes.</w:t>
            </w:r>
          </w:p>
        </w:tc>
      </w:tr>
      <w:tr>
        <w:tc>
          <w:tcPr>
            <w:tcW w:type="dxa" w:w="500"/>
            <w:tcMar>
              <w:top w:type="dxa" w:w="70"/>
              <w:left w:type="dxa" w:w="100"/>
              <w:bottom w:type="dxa" w:w="70"/>
              <w:right w:type="dxa" w:w="100"/>
            </w:tcMar>
          </w:tcPr>
          <w:p>
            <w:r>
              <w:rPr>
                <w:b w:val="false"/>
                <w:bCs w:val="false"/>
              </w:rPr>
              <w:t xml:space="preserve">5</w:t>
            </w:r>
          </w:p>
        </w:tc>
        <w:tc>
          <w:tcPr>
            <w:tcW w:type="dxa" w:w="2000"/>
            <w:tcMar>
              <w:top w:type="dxa" w:w="70"/>
              <w:left w:type="dxa" w:w="100"/>
              <w:bottom w:type="dxa" w:w="70"/>
              <w:right w:type="dxa" w:w="100"/>
            </w:tcMar>
          </w:tcPr>
          <w:p>
            <w:r>
              <w:rPr>
                <w:b w:val="false"/>
                <w:bCs w:val="false"/>
              </w:rPr>
              <w:t xml:space="preserve">Clinical / Doctor</w:t>
            </w:r>
          </w:p>
        </w:tc>
        <w:tc>
          <w:tcPr>
            <w:tcW w:type="dxa" w:w="3800"/>
            <w:tcMar>
              <w:top w:type="dxa" w:w="70"/>
              <w:left w:type="dxa" w:w="100"/>
              <w:bottom w:type="dxa" w:w="70"/>
              <w:right w:type="dxa" w:w="100"/>
            </w:tcMar>
          </w:tcPr>
          <w:p>
            <w:r>
              <w:rPr>
                <w:b w:val="false"/>
                <w:bCs w:val="false"/>
              </w:rPr>
              <w:t xml:space="preserve">Consultation, diagnosis, clinical notes, orders, treatment plans, clinical referrals.</w:t>
            </w:r>
          </w:p>
        </w:tc>
        <w:tc>
          <w:tcPr>
            <w:tcW w:type="dxa" w:w="2700"/>
            <w:tcMar>
              <w:top w:type="dxa" w:w="70"/>
              <w:left w:type="dxa" w:w="100"/>
              <w:bottom w:type="dxa" w:w="70"/>
              <w:right w:type="dxa" w:w="100"/>
            </w:tcMar>
          </w:tcPr>
          <w:p>
            <w:r>
              <w:rPr>
                <w:b w:val="false"/>
                <w:bCs w:val="false"/>
              </w:rPr>
              <w:t xml:space="preserve">Already deep-dived (previously Module 5), extended with clinical (internal) referrals.</w:t>
            </w:r>
          </w:p>
        </w:tc>
      </w:tr>
      <w:tr>
        <w:tc>
          <w:tcPr>
            <w:tcW w:type="dxa" w:w="500"/>
            <w:shd w:fill="F5F5F5" w:color="auto" w:val="clear"/>
            <w:tcMar>
              <w:top w:type="dxa" w:w="70"/>
              <w:left w:type="dxa" w:w="100"/>
              <w:bottom w:type="dxa" w:w="70"/>
              <w:right w:type="dxa" w:w="100"/>
            </w:tcMar>
          </w:tcPr>
          <w:p>
            <w:r>
              <w:rPr>
                <w:b w:val="false"/>
                <w:bCs w:val="false"/>
              </w:rPr>
              <w:t xml:space="preserve">6</w:t>
            </w:r>
          </w:p>
        </w:tc>
        <w:tc>
          <w:tcPr>
            <w:tcW w:type="dxa" w:w="2000"/>
            <w:shd w:fill="F5F5F5" w:color="auto" w:val="clear"/>
            <w:tcMar>
              <w:top w:type="dxa" w:w="70"/>
              <w:left w:type="dxa" w:w="100"/>
              <w:bottom w:type="dxa" w:w="70"/>
              <w:right w:type="dxa" w:w="100"/>
            </w:tcMar>
          </w:tcPr>
          <w:p>
            <w:r>
              <w:rPr>
                <w:b w:val="false"/>
                <w:bCs w:val="false"/>
              </w:rPr>
              <w:t xml:space="preserve">Laboratory</w:t>
            </w:r>
          </w:p>
        </w:tc>
        <w:tc>
          <w:tcPr>
            <w:tcW w:type="dxa" w:w="3800"/>
            <w:shd w:fill="F5F5F5" w:color="auto" w:val="clear"/>
            <w:tcMar>
              <w:top w:type="dxa" w:w="70"/>
              <w:left w:type="dxa" w:w="100"/>
              <w:bottom w:type="dxa" w:w="70"/>
              <w:right w:type="dxa" w:w="100"/>
            </w:tcMar>
          </w:tcPr>
          <w:p>
            <w:r>
              <w:rPr>
                <w:b w:val="false"/>
                <w:bCs w:val="false"/>
              </w:rPr>
              <w:t xml:space="preserve">Lab catalogue, orders, specimens, results, verification, reports.</w:t>
            </w:r>
          </w:p>
        </w:tc>
        <w:tc>
          <w:tcPr>
            <w:tcW w:type="dxa" w:w="2700"/>
            <w:shd w:fill="F5F5F5" w:color="auto" w:val="clear"/>
            <w:tcMar>
              <w:top w:type="dxa" w:w="70"/>
              <w:left w:type="dxa" w:w="100"/>
              <w:bottom w:type="dxa" w:w="70"/>
              <w:right w:type="dxa" w:w="100"/>
            </w:tcMar>
          </w:tcPr>
          <w:p>
            <w:r>
              <w:rPr>
                <w:b w:val="false"/>
                <w:bCs w:val="false"/>
              </w:rPr>
              <w:t xml:space="preserve">Already deep-dived (previously Module 6), extended with formal specimen tracking and verification step.</w:t>
            </w:r>
          </w:p>
        </w:tc>
      </w:tr>
      <w:tr>
        <w:tc>
          <w:tcPr>
            <w:tcW w:type="dxa" w:w="500"/>
            <w:tcMar>
              <w:top w:type="dxa" w:w="70"/>
              <w:left w:type="dxa" w:w="100"/>
              <w:bottom w:type="dxa" w:w="70"/>
              <w:right w:type="dxa" w:w="100"/>
            </w:tcMar>
          </w:tcPr>
          <w:p>
            <w:r>
              <w:rPr>
                <w:b w:val="false"/>
                <w:bCs w:val="false"/>
              </w:rPr>
              <w:t xml:space="preserve">7</w:t>
            </w:r>
          </w:p>
        </w:tc>
        <w:tc>
          <w:tcPr>
            <w:tcW w:type="dxa" w:w="2000"/>
            <w:tcMar>
              <w:top w:type="dxa" w:w="70"/>
              <w:left w:type="dxa" w:w="100"/>
              <w:bottom w:type="dxa" w:w="70"/>
              <w:right w:type="dxa" w:w="100"/>
            </w:tcMar>
          </w:tcPr>
          <w:p>
            <w:r>
              <w:rPr>
                <w:b w:val="false"/>
                <w:bCs w:val="false"/>
              </w:rPr>
              <w:t xml:space="preserve">Radiology</w:t>
            </w:r>
          </w:p>
        </w:tc>
        <w:tc>
          <w:tcPr>
            <w:tcW w:type="dxa" w:w="3800"/>
            <w:tcMar>
              <w:top w:type="dxa" w:w="70"/>
              <w:left w:type="dxa" w:w="100"/>
              <w:bottom w:type="dxa" w:w="70"/>
              <w:right w:type="dxa" w:w="100"/>
            </w:tcMar>
          </w:tcPr>
          <w:p>
            <w:r>
              <w:rPr>
                <w:b w:val="false"/>
                <w:bCs w:val="false"/>
              </w:rPr>
              <w:t xml:space="preserve">Imaging orders, scheduling, procedures, reports, verification.</w:t>
            </w:r>
          </w:p>
        </w:tc>
        <w:tc>
          <w:tcPr>
            <w:tcW w:type="dxa" w:w="2700"/>
            <w:tcMar>
              <w:top w:type="dxa" w:w="70"/>
              <w:left w:type="dxa" w:w="100"/>
              <w:bottom w:type="dxa" w:w="70"/>
              <w:right w:type="dxa" w:w="100"/>
            </w:tcMar>
          </w:tcPr>
          <w:p>
            <w:r>
              <w:rPr>
                <w:b w:val="false"/>
                <w:bCs w:val="false"/>
              </w:rPr>
              <w:t xml:space="preserve">New — mirrors Laboratory's order/result pattern for X-ray, ultrasound, CT, MRI.</w:t>
            </w:r>
          </w:p>
        </w:tc>
      </w:tr>
      <w:tr>
        <w:tc>
          <w:tcPr>
            <w:tcW w:type="dxa" w:w="500"/>
            <w:shd w:fill="F5F5F5" w:color="auto" w:val="clear"/>
            <w:tcMar>
              <w:top w:type="dxa" w:w="70"/>
              <w:left w:type="dxa" w:w="100"/>
              <w:bottom w:type="dxa" w:w="70"/>
              <w:right w:type="dxa" w:w="100"/>
            </w:tcMar>
          </w:tcPr>
          <w:p>
            <w:r>
              <w:rPr>
                <w:b w:val="false"/>
                <w:bCs w:val="false"/>
              </w:rPr>
              <w:t xml:space="preserve">8</w:t>
            </w:r>
          </w:p>
        </w:tc>
        <w:tc>
          <w:tcPr>
            <w:tcW w:type="dxa" w:w="2000"/>
            <w:shd w:fill="F5F5F5" w:color="auto" w:val="clear"/>
            <w:tcMar>
              <w:top w:type="dxa" w:w="70"/>
              <w:left w:type="dxa" w:w="100"/>
              <w:bottom w:type="dxa" w:w="70"/>
              <w:right w:type="dxa" w:w="100"/>
            </w:tcMar>
          </w:tcPr>
          <w:p>
            <w:r>
              <w:rPr>
                <w:b w:val="false"/>
                <w:bCs w:val="false"/>
              </w:rPr>
              <w:t xml:space="preserve">Pharmacy</w:t>
            </w:r>
          </w:p>
        </w:tc>
        <w:tc>
          <w:tcPr>
            <w:tcW w:type="dxa" w:w="3800"/>
            <w:shd w:fill="F5F5F5" w:color="auto" w:val="clear"/>
            <w:tcMar>
              <w:top w:type="dxa" w:w="70"/>
              <w:left w:type="dxa" w:w="100"/>
              <w:bottom w:type="dxa" w:w="70"/>
              <w:right w:type="dxa" w:w="100"/>
            </w:tcMar>
          </w:tcPr>
          <w:p>
            <w:r>
              <w:rPr>
                <w:b w:val="false"/>
                <w:bCs w:val="false"/>
              </w:rPr>
              <w:t xml:space="preserve">Prescriptions, dispensing, medication inventory, batches, expiry, stock movements.</w:t>
            </w:r>
          </w:p>
        </w:tc>
        <w:tc>
          <w:tcPr>
            <w:tcW w:type="dxa" w:w="2700"/>
            <w:shd w:fill="F5F5F5" w:color="auto" w:val="clear"/>
            <w:tcMar>
              <w:top w:type="dxa" w:w="70"/>
              <w:left w:type="dxa" w:w="100"/>
              <w:bottom w:type="dxa" w:w="70"/>
              <w:right w:type="dxa" w:w="100"/>
            </w:tcMar>
          </w:tcPr>
          <w:p>
            <w:r>
              <w:rPr>
                <w:b w:val="false"/>
                <w:bCs w:val="false"/>
              </w:rPr>
              <w:t xml:space="preserve">Already deep-dived (previously Modules 5 Part 2 + 7 + 8), reorganized as one module.</w:t>
            </w:r>
          </w:p>
        </w:tc>
      </w:tr>
      <w:tr>
        <w:tc>
          <w:tcPr>
            <w:tcW w:type="dxa" w:w="500"/>
            <w:tcMar>
              <w:top w:type="dxa" w:w="70"/>
              <w:left w:type="dxa" w:w="100"/>
              <w:bottom w:type="dxa" w:w="70"/>
              <w:right w:type="dxa" w:w="100"/>
            </w:tcMar>
          </w:tcPr>
          <w:p>
            <w:r>
              <w:rPr>
                <w:b w:val="false"/>
                <w:bCs w:val="false"/>
              </w:rPr>
              <w:t xml:space="preserve">9</w:t>
            </w:r>
          </w:p>
        </w:tc>
        <w:tc>
          <w:tcPr>
            <w:tcW w:type="dxa" w:w="2000"/>
            <w:tcMar>
              <w:top w:type="dxa" w:w="70"/>
              <w:left w:type="dxa" w:w="100"/>
              <w:bottom w:type="dxa" w:w="70"/>
              <w:right w:type="dxa" w:w="100"/>
            </w:tcMar>
          </w:tcPr>
          <w:p>
            <w:r>
              <w:rPr>
                <w:b w:val="false"/>
                <w:bCs w:val="false"/>
              </w:rPr>
              <w:t xml:space="preserve">Admissions &amp; Bed Management</w:t>
            </w:r>
          </w:p>
        </w:tc>
        <w:tc>
          <w:tcPr>
            <w:tcW w:type="dxa" w:w="3800"/>
            <w:tcMar>
              <w:top w:type="dxa" w:w="70"/>
              <w:left w:type="dxa" w:w="100"/>
              <w:bottom w:type="dxa" w:w="70"/>
              <w:right w:type="dxa" w:w="100"/>
            </w:tcMar>
          </w:tcPr>
          <w:p>
            <w:r>
              <w:rPr>
                <w:b w:val="false"/>
                <w:bCs w:val="false"/>
              </w:rPr>
              <w:t xml:space="preserve">Admission, wards, rooms, beds, transfers, discharge.</w:t>
            </w:r>
          </w:p>
        </w:tc>
        <w:tc>
          <w:tcPr>
            <w:tcW w:type="dxa" w:w="2700"/>
            <w:tcMar>
              <w:top w:type="dxa" w:w="70"/>
              <w:left w:type="dxa" w:w="100"/>
              <w:bottom w:type="dxa" w:w="70"/>
              <w:right w:type="dxa" w:w="100"/>
            </w:tcMar>
          </w:tcPr>
          <w:p>
            <w:r>
              <w:rPr>
                <w:b w:val="false"/>
                <w:bCs w:val="false"/>
              </w:rPr>
              <w:t xml:space="preserve">Expands previous Module 11; beds now modeled explicitly (building/floor/ward/room/bed) with state machine.</w:t>
            </w:r>
          </w:p>
        </w:tc>
      </w:tr>
      <w:tr>
        <w:tc>
          <w:tcPr>
            <w:tcW w:type="dxa" w:w="500"/>
            <w:shd w:fill="F5F5F5" w:color="auto" w:val="clear"/>
            <w:tcMar>
              <w:top w:type="dxa" w:w="70"/>
              <w:left w:type="dxa" w:w="100"/>
              <w:bottom w:type="dxa" w:w="70"/>
              <w:right w:type="dxa" w:w="100"/>
            </w:tcMar>
          </w:tcPr>
          <w:p>
            <w:r>
              <w:rPr>
                <w:b w:val="false"/>
                <w:bCs w:val="false"/>
              </w:rPr>
              <w:t xml:space="preserve">10</w:t>
            </w:r>
          </w:p>
        </w:tc>
        <w:tc>
          <w:tcPr>
            <w:tcW w:type="dxa" w:w="2000"/>
            <w:shd w:fill="F5F5F5" w:color="auto" w:val="clear"/>
            <w:tcMar>
              <w:top w:type="dxa" w:w="70"/>
              <w:left w:type="dxa" w:w="100"/>
              <w:bottom w:type="dxa" w:w="70"/>
              <w:right w:type="dxa" w:w="100"/>
            </w:tcMar>
          </w:tcPr>
          <w:p>
            <w:r>
              <w:rPr>
                <w:b w:val="false"/>
                <w:bCs w:val="false"/>
              </w:rPr>
              <w:t xml:space="preserve">Theatre</w:t>
            </w:r>
          </w:p>
        </w:tc>
        <w:tc>
          <w:tcPr>
            <w:tcW w:type="dxa" w:w="3800"/>
            <w:shd w:fill="F5F5F5" w:color="auto" w:val="clear"/>
            <w:tcMar>
              <w:top w:type="dxa" w:w="70"/>
              <w:left w:type="dxa" w:w="100"/>
              <w:bottom w:type="dxa" w:w="70"/>
              <w:right w:type="dxa" w:w="100"/>
            </w:tcMar>
          </w:tcPr>
          <w:p>
            <w:r>
              <w:rPr>
                <w:b w:val="false"/>
                <w:bCs w:val="false"/>
              </w:rPr>
              <w:t xml:space="preserve">Surgical scheduling, pre-op assessment, consent, theatre, anaesthesia, operation notes, recovery.</w:t>
            </w:r>
          </w:p>
        </w:tc>
        <w:tc>
          <w:tcPr>
            <w:tcW w:type="dxa" w:w="2700"/>
            <w:shd w:fill="F5F5F5" w:color="auto" w:val="clear"/>
            <w:tcMar>
              <w:top w:type="dxa" w:w="70"/>
              <w:left w:type="dxa" w:w="100"/>
              <w:bottom w:type="dxa" w:w="70"/>
              <w:right w:type="dxa" w:w="100"/>
            </w:tcMar>
          </w:tcPr>
          <w:p>
            <w:r>
              <w:rPr>
                <w:b w:val="false"/>
                <w:bCs w:val="false"/>
              </w:rPr>
              <w:t xml:space="preserve">New.</w:t>
            </w:r>
          </w:p>
        </w:tc>
      </w:tr>
      <w:tr>
        <w:tc>
          <w:tcPr>
            <w:tcW w:type="dxa" w:w="500"/>
            <w:tcMar>
              <w:top w:type="dxa" w:w="70"/>
              <w:left w:type="dxa" w:w="100"/>
              <w:bottom w:type="dxa" w:w="70"/>
              <w:right w:type="dxa" w:w="100"/>
            </w:tcMar>
          </w:tcPr>
          <w:p>
            <w:r>
              <w:rPr>
                <w:b w:val="false"/>
                <w:bCs w:val="false"/>
              </w:rPr>
              <w:t xml:space="preserve">11</w:t>
            </w:r>
          </w:p>
        </w:tc>
        <w:tc>
          <w:tcPr>
            <w:tcW w:type="dxa" w:w="2000"/>
            <w:tcMar>
              <w:top w:type="dxa" w:w="70"/>
              <w:left w:type="dxa" w:w="100"/>
              <w:bottom w:type="dxa" w:w="70"/>
              <w:right w:type="dxa" w:w="100"/>
            </w:tcMar>
          </w:tcPr>
          <w:p>
            <w:r>
              <w:rPr>
                <w:b w:val="false"/>
                <w:bCs w:val="false"/>
              </w:rPr>
              <w:t xml:space="preserve">Emergency</w:t>
            </w:r>
          </w:p>
        </w:tc>
        <w:tc>
          <w:tcPr>
            <w:tcW w:type="dxa" w:w="3800"/>
            <w:tcMar>
              <w:top w:type="dxa" w:w="70"/>
              <w:left w:type="dxa" w:w="100"/>
              <w:bottom w:type="dxa" w:w="70"/>
              <w:right w:type="dxa" w:w="100"/>
            </w:tcMar>
          </w:tcPr>
          <w:p>
            <w:r>
              <w:rPr>
                <w:b w:val="false"/>
                <w:bCs w:val="false"/>
              </w:rPr>
              <w:t xml:space="preserve">Emergency registration, immediate triage, resuscitation, emergency orders, disposition.</w:t>
            </w:r>
          </w:p>
        </w:tc>
        <w:tc>
          <w:tcPr>
            <w:tcW w:type="dxa" w:w="2700"/>
            <w:tcMar>
              <w:top w:type="dxa" w:w="70"/>
              <w:left w:type="dxa" w:w="100"/>
              <w:bottom w:type="dxa" w:w="70"/>
              <w:right w:type="dxa" w:w="100"/>
            </w:tcMar>
          </w:tcPr>
          <w:p>
            <w:r>
              <w:rPr>
                <w:b w:val="false"/>
                <w:bCs w:val="false"/>
              </w:rPr>
              <w:t xml:space="preserve">New — previously folded into OPD flow as a fast-track flag; now a distinct subsystem.</w:t>
            </w:r>
          </w:p>
        </w:tc>
      </w:tr>
      <w:tr>
        <w:tc>
          <w:tcPr>
            <w:tcW w:type="dxa" w:w="500"/>
            <w:shd w:fill="F5F5F5" w:color="auto" w:val="clear"/>
            <w:tcMar>
              <w:top w:type="dxa" w:w="70"/>
              <w:left w:type="dxa" w:w="100"/>
              <w:bottom w:type="dxa" w:w="70"/>
              <w:right w:type="dxa" w:w="100"/>
            </w:tcMar>
          </w:tcPr>
          <w:p>
            <w:r>
              <w:rPr>
                <w:b w:val="false"/>
                <w:bCs w:val="false"/>
              </w:rPr>
              <w:t xml:space="preserve">12</w:t>
            </w:r>
          </w:p>
        </w:tc>
        <w:tc>
          <w:tcPr>
            <w:tcW w:type="dxa" w:w="2000"/>
            <w:shd w:fill="F5F5F5" w:color="auto" w:val="clear"/>
            <w:tcMar>
              <w:top w:type="dxa" w:w="70"/>
              <w:left w:type="dxa" w:w="100"/>
              <w:bottom w:type="dxa" w:w="70"/>
              <w:right w:type="dxa" w:w="100"/>
            </w:tcMar>
          </w:tcPr>
          <w:p>
            <w:r>
              <w:rPr>
                <w:b w:val="false"/>
                <w:bCs w:val="false"/>
              </w:rPr>
              <w:t xml:space="preserve">Referral</w:t>
            </w:r>
          </w:p>
        </w:tc>
        <w:tc>
          <w:tcPr>
            <w:tcW w:type="dxa" w:w="3800"/>
            <w:shd w:fill="F5F5F5" w:color="auto" w:val="clear"/>
            <w:tcMar>
              <w:top w:type="dxa" w:w="70"/>
              <w:left w:type="dxa" w:w="100"/>
              <w:bottom w:type="dxa" w:w="70"/>
              <w:right w:type="dxa" w:w="100"/>
            </w:tcMar>
          </w:tcPr>
          <w:p>
            <w:r>
              <w:rPr>
                <w:b w:val="false"/>
                <w:bCs w:val="false"/>
              </w:rPr>
              <w:t xml:space="preserve">Internal referral (department-to-department), external referral (facility-to-facility), acceptance, feedback, return referral.</w:t>
            </w:r>
          </w:p>
        </w:tc>
        <w:tc>
          <w:tcPr>
            <w:tcW w:type="dxa" w:w="2700"/>
            <w:shd w:fill="F5F5F5" w:color="auto" w:val="clear"/>
            <w:tcMar>
              <w:top w:type="dxa" w:w="70"/>
              <w:left w:type="dxa" w:w="100"/>
              <w:bottom w:type="dxa" w:w="70"/>
              <w:right w:type="dxa" w:w="100"/>
            </w:tcMar>
          </w:tcPr>
          <w:p>
            <w:r>
              <w:rPr>
                <w:b w:val="false"/>
                <w:bCs w:val="false"/>
              </w:rPr>
              <w:t xml:space="preserve">New — formalizes referral as its own workflow rather than a field on Consultation.</w:t>
            </w:r>
          </w:p>
        </w:tc>
      </w:tr>
      <w:tr>
        <w:tc>
          <w:tcPr>
            <w:tcW w:type="dxa" w:w="500"/>
            <w:tcMar>
              <w:top w:type="dxa" w:w="70"/>
              <w:left w:type="dxa" w:w="100"/>
              <w:bottom w:type="dxa" w:w="70"/>
              <w:right w:type="dxa" w:w="100"/>
            </w:tcMar>
          </w:tcPr>
          <w:p>
            <w:r>
              <w:rPr>
                <w:b w:val="false"/>
                <w:bCs w:val="false"/>
              </w:rPr>
              <w:t xml:space="preserve">13</w:t>
            </w:r>
          </w:p>
        </w:tc>
        <w:tc>
          <w:tcPr>
            <w:tcW w:type="dxa" w:w="2000"/>
            <w:tcMar>
              <w:top w:type="dxa" w:w="70"/>
              <w:left w:type="dxa" w:w="100"/>
              <w:bottom w:type="dxa" w:w="70"/>
              <w:right w:type="dxa" w:w="100"/>
            </w:tcMar>
          </w:tcPr>
          <w:p>
            <w:r>
              <w:rPr>
                <w:b w:val="false"/>
                <w:bCs w:val="false"/>
              </w:rPr>
              <w:t xml:space="preserve">Billing &amp; Finance</w:t>
            </w:r>
          </w:p>
        </w:tc>
        <w:tc>
          <w:tcPr>
            <w:tcW w:type="dxa" w:w="3800"/>
            <w:tcMar>
              <w:top w:type="dxa" w:w="70"/>
              <w:left w:type="dxa" w:w="100"/>
              <w:bottom w:type="dxa" w:w="70"/>
              <w:right w:type="dxa" w:w="100"/>
            </w:tcMar>
          </w:tcPr>
          <w:p>
            <w:r>
              <w:rPr>
                <w:b w:val="false"/>
                <w:bCs w:val="false"/>
              </w:rPr>
              <w:t xml:space="preserve">Charges, invoices, payments, receipts, refunds, revenue.</w:t>
            </w:r>
          </w:p>
        </w:tc>
        <w:tc>
          <w:tcPr>
            <w:tcW w:type="dxa" w:w="2700"/>
            <w:tcMar>
              <w:top w:type="dxa" w:w="70"/>
              <w:left w:type="dxa" w:w="100"/>
              <w:bottom w:type="dxa" w:w="70"/>
              <w:right w:type="dxa" w:w="100"/>
            </w:tcMar>
          </w:tcPr>
          <w:p>
            <w:r>
              <w:rPr>
                <w:b w:val="false"/>
                <w:bCs w:val="false"/>
              </w:rPr>
              <w:t xml:space="preserve">Already deep-dived in principle (previously Module 9); now explicitly separated from NHIS.</w:t>
            </w:r>
          </w:p>
        </w:tc>
      </w:tr>
      <w:tr>
        <w:tc>
          <w:tcPr>
            <w:tcW w:type="dxa" w:w="500"/>
            <w:shd w:fill="F5F5F5" w:color="auto" w:val="clear"/>
            <w:tcMar>
              <w:top w:type="dxa" w:w="70"/>
              <w:left w:type="dxa" w:w="100"/>
              <w:bottom w:type="dxa" w:w="70"/>
              <w:right w:type="dxa" w:w="100"/>
            </w:tcMar>
          </w:tcPr>
          <w:p>
            <w:r>
              <w:rPr>
                <w:b w:val="false"/>
                <w:bCs w:val="false"/>
              </w:rPr>
              <w:t xml:space="preserve">14</w:t>
            </w:r>
          </w:p>
        </w:tc>
        <w:tc>
          <w:tcPr>
            <w:tcW w:type="dxa" w:w="2000"/>
            <w:shd w:fill="F5F5F5" w:color="auto" w:val="clear"/>
            <w:tcMar>
              <w:top w:type="dxa" w:w="70"/>
              <w:left w:type="dxa" w:w="100"/>
              <w:bottom w:type="dxa" w:w="70"/>
              <w:right w:type="dxa" w:w="100"/>
            </w:tcMar>
          </w:tcPr>
          <w:p>
            <w:r>
              <w:rPr>
                <w:b w:val="false"/>
                <w:bCs w:val="false"/>
              </w:rPr>
              <w:t xml:space="preserve">NHIS</w:t>
            </w:r>
          </w:p>
        </w:tc>
        <w:tc>
          <w:tcPr>
            <w:tcW w:type="dxa" w:w="3800"/>
            <w:shd w:fill="F5F5F5" w:color="auto" w:val="clear"/>
            <w:tcMar>
              <w:top w:type="dxa" w:w="70"/>
              <w:left w:type="dxa" w:w="100"/>
              <w:bottom w:type="dxa" w:w="70"/>
              <w:right w:type="dxa" w:w="100"/>
            </w:tcMar>
          </w:tcPr>
          <w:p>
            <w:r>
              <w:rPr>
                <w:b w:val="false"/>
                <w:bCs w:val="false"/>
              </w:rPr>
              <w:t xml:space="preserve">Eligibility, attendance verification, claim generation, validation, submission, tracking, rejected claims, payments.</w:t>
            </w:r>
          </w:p>
        </w:tc>
        <w:tc>
          <w:tcPr>
            <w:tcW w:type="dxa" w:w="2700"/>
            <w:shd w:fill="F5F5F5" w:color="auto" w:val="clear"/>
            <w:tcMar>
              <w:top w:type="dxa" w:w="70"/>
              <w:left w:type="dxa" w:w="100"/>
              <w:bottom w:type="dxa" w:w="70"/>
              <w:right w:type="dxa" w:w="100"/>
            </w:tcMar>
          </w:tcPr>
          <w:p>
            <w:r>
              <w:rPr>
                <w:b w:val="false"/>
                <w:bCs w:val="false"/>
              </w:rPr>
              <w:t xml:space="preserve">Expands previous Module 10; models the full CLAIM-it-aligned lifecycle.</w:t>
            </w:r>
          </w:p>
        </w:tc>
      </w:tr>
      <w:tr>
        <w:tc>
          <w:tcPr>
            <w:tcW w:type="dxa" w:w="500"/>
            <w:tcMar>
              <w:top w:type="dxa" w:w="70"/>
              <w:left w:type="dxa" w:w="100"/>
              <w:bottom w:type="dxa" w:w="70"/>
              <w:right w:type="dxa" w:w="100"/>
            </w:tcMar>
          </w:tcPr>
          <w:p>
            <w:r>
              <w:rPr>
                <w:b w:val="false"/>
                <w:bCs w:val="false"/>
              </w:rPr>
              <w:t xml:space="preserve">15</w:t>
            </w:r>
          </w:p>
        </w:tc>
        <w:tc>
          <w:tcPr>
            <w:tcW w:type="dxa" w:w="2000"/>
            <w:tcMar>
              <w:top w:type="dxa" w:w="70"/>
              <w:left w:type="dxa" w:w="100"/>
              <w:bottom w:type="dxa" w:w="70"/>
              <w:right w:type="dxa" w:w="100"/>
            </w:tcMar>
          </w:tcPr>
          <w:p>
            <w:r>
              <w:rPr>
                <w:b w:val="false"/>
                <w:bCs w:val="false"/>
              </w:rPr>
              <w:t xml:space="preserve">Procurement</w:t>
            </w:r>
          </w:p>
        </w:tc>
        <w:tc>
          <w:tcPr>
            <w:tcW w:type="dxa" w:w="3800"/>
            <w:tcMar>
              <w:top w:type="dxa" w:w="70"/>
              <w:left w:type="dxa" w:w="100"/>
              <w:bottom w:type="dxa" w:w="70"/>
              <w:right w:type="dxa" w:w="100"/>
            </w:tcMar>
          </w:tcPr>
          <w:p>
            <w:r>
              <w:rPr>
                <w:b w:val="false"/>
                <w:bCs w:val="false"/>
              </w:rPr>
              <w:t xml:space="preserve">Requisitions, approvals, suppliers, purchase orders, goods received.</w:t>
            </w:r>
          </w:p>
        </w:tc>
        <w:tc>
          <w:tcPr>
            <w:tcW w:type="dxa" w:w="2700"/>
            <w:tcMar>
              <w:top w:type="dxa" w:w="70"/>
              <w:left w:type="dxa" w:w="100"/>
              <w:bottom w:type="dxa" w:w="70"/>
              <w:right w:type="dxa" w:w="100"/>
            </w:tcMar>
          </w:tcPr>
          <w:p>
            <w:r>
              <w:rPr>
                <w:b w:val="false"/>
                <w:bCs w:val="false"/>
              </w:rPr>
              <w:t xml:space="preserve">Expands previous Module 12; now covers all hospital supplies, not just drugs.</w:t>
            </w:r>
          </w:p>
        </w:tc>
      </w:tr>
      <w:tr>
        <w:tc>
          <w:tcPr>
            <w:tcW w:type="dxa" w:w="500"/>
            <w:shd w:fill="F5F5F5" w:color="auto" w:val="clear"/>
            <w:tcMar>
              <w:top w:type="dxa" w:w="70"/>
              <w:left w:type="dxa" w:w="100"/>
              <w:bottom w:type="dxa" w:w="70"/>
              <w:right w:type="dxa" w:w="100"/>
            </w:tcMar>
          </w:tcPr>
          <w:p>
            <w:r>
              <w:rPr>
                <w:b w:val="false"/>
                <w:bCs w:val="false"/>
              </w:rPr>
              <w:t xml:space="preserve">16</w:t>
            </w:r>
          </w:p>
        </w:tc>
        <w:tc>
          <w:tcPr>
            <w:tcW w:type="dxa" w:w="2000"/>
            <w:shd w:fill="F5F5F5" w:color="auto" w:val="clear"/>
            <w:tcMar>
              <w:top w:type="dxa" w:w="70"/>
              <w:left w:type="dxa" w:w="100"/>
              <w:bottom w:type="dxa" w:w="70"/>
              <w:right w:type="dxa" w:w="100"/>
            </w:tcMar>
          </w:tcPr>
          <w:p>
            <w:r>
              <w:rPr>
                <w:b w:val="false"/>
                <w:bCs w:val="false"/>
              </w:rPr>
              <w:t xml:space="preserve">Stores</w:t>
            </w:r>
          </w:p>
        </w:tc>
        <w:tc>
          <w:tcPr>
            <w:tcW w:type="dxa" w:w="3800"/>
            <w:shd w:fill="F5F5F5" w:color="auto" w:val="clear"/>
            <w:tcMar>
              <w:top w:type="dxa" w:w="70"/>
              <w:left w:type="dxa" w:w="100"/>
              <w:bottom w:type="dxa" w:w="70"/>
              <w:right w:type="dxa" w:w="100"/>
            </w:tcMar>
          </w:tcPr>
          <w:p>
            <w:r>
              <w:rPr>
                <w:b w:val="false"/>
                <w:bCs w:val="false"/>
              </w:rPr>
              <w:t xml:space="preserve">General (non-drug) inventory: consumables, stationery, cleaning supplies, equipment stock; transfers, issues, adjustments, counts.</w:t>
            </w:r>
          </w:p>
        </w:tc>
        <w:tc>
          <w:tcPr>
            <w:tcW w:type="dxa" w:w="2700"/>
            <w:shd w:fill="F5F5F5" w:color="auto" w:val="clear"/>
            <w:tcMar>
              <w:top w:type="dxa" w:w="70"/>
              <w:left w:type="dxa" w:w="100"/>
              <w:bottom w:type="dxa" w:w="70"/>
              <w:right w:type="dxa" w:w="100"/>
            </w:tcMar>
          </w:tcPr>
          <w:p>
            <w:r>
              <w:rPr>
                <w:b w:val="false"/>
                <w:bCs w:val="false"/>
              </w:rPr>
              <w:t xml:space="preserve">New — separated from Pharmacy inventory, which remains drug-specific.</w:t>
            </w:r>
          </w:p>
        </w:tc>
      </w:tr>
      <w:tr>
        <w:tc>
          <w:tcPr>
            <w:tcW w:type="dxa" w:w="500"/>
            <w:tcMar>
              <w:top w:type="dxa" w:w="70"/>
              <w:left w:type="dxa" w:w="100"/>
              <w:bottom w:type="dxa" w:w="70"/>
              <w:right w:type="dxa" w:w="100"/>
            </w:tcMar>
          </w:tcPr>
          <w:p>
            <w:r>
              <w:rPr>
                <w:b w:val="false"/>
                <w:bCs w:val="false"/>
              </w:rPr>
              <w:t xml:space="preserve">17</w:t>
            </w:r>
          </w:p>
        </w:tc>
        <w:tc>
          <w:tcPr>
            <w:tcW w:type="dxa" w:w="2000"/>
            <w:tcMar>
              <w:top w:type="dxa" w:w="70"/>
              <w:left w:type="dxa" w:w="100"/>
              <w:bottom w:type="dxa" w:w="70"/>
              <w:right w:type="dxa" w:w="100"/>
            </w:tcMar>
          </w:tcPr>
          <w:p>
            <w:r>
              <w:rPr>
                <w:b w:val="false"/>
                <w:bCs w:val="false"/>
              </w:rPr>
              <w:t xml:space="preserve">HR</w:t>
            </w:r>
          </w:p>
        </w:tc>
        <w:tc>
          <w:tcPr>
            <w:tcW w:type="dxa" w:w="3800"/>
            <w:tcMar>
              <w:top w:type="dxa" w:w="70"/>
              <w:left w:type="dxa" w:w="100"/>
              <w:bottom w:type="dxa" w:w="70"/>
              <w:right w:type="dxa" w:w="100"/>
            </w:tcMar>
          </w:tcPr>
          <w:p>
            <w:r>
              <w:rPr>
                <w:b w:val="false"/>
                <w:bCs w:val="false"/>
              </w:rPr>
              <w:t xml:space="preserve">Staff records, departments, shifts, attendance, leave, permissions linkage.</w:t>
            </w:r>
          </w:p>
        </w:tc>
        <w:tc>
          <w:tcPr>
            <w:tcW w:type="dxa" w:w="2700"/>
            <w:tcMar>
              <w:top w:type="dxa" w:w="70"/>
              <w:left w:type="dxa" w:w="100"/>
              <w:bottom w:type="dxa" w:w="70"/>
              <w:right w:type="dxa" w:w="100"/>
            </w:tcMar>
          </w:tcPr>
          <w:p>
            <w:r>
              <w:rPr>
                <w:b w:val="false"/>
                <w:bCs w:val="false"/>
              </w:rPr>
              <w:t xml:space="preserve">New — distinguishes Employee from User Account from Role, all previously conflated in Module 1.</w:t>
            </w:r>
          </w:p>
        </w:tc>
      </w:tr>
      <w:tr>
        <w:tc>
          <w:tcPr>
            <w:tcW w:type="dxa" w:w="500"/>
            <w:shd w:fill="F5F5F5" w:color="auto" w:val="clear"/>
            <w:tcMar>
              <w:top w:type="dxa" w:w="70"/>
              <w:left w:type="dxa" w:w="100"/>
              <w:bottom w:type="dxa" w:w="70"/>
              <w:right w:type="dxa" w:w="100"/>
            </w:tcMar>
          </w:tcPr>
          <w:p>
            <w:r>
              <w:rPr>
                <w:b w:val="false"/>
                <w:bCs w:val="false"/>
              </w:rPr>
              <w:t xml:space="preserve">18</w:t>
            </w:r>
          </w:p>
        </w:tc>
        <w:tc>
          <w:tcPr>
            <w:tcW w:type="dxa" w:w="2000"/>
            <w:shd w:fill="F5F5F5" w:color="auto" w:val="clear"/>
            <w:tcMar>
              <w:top w:type="dxa" w:w="70"/>
              <w:left w:type="dxa" w:w="100"/>
              <w:bottom w:type="dxa" w:w="70"/>
              <w:right w:type="dxa" w:w="100"/>
            </w:tcMar>
          </w:tcPr>
          <w:p>
            <w:r>
              <w:rPr>
                <w:b w:val="false"/>
                <w:bCs w:val="false"/>
              </w:rPr>
              <w:t xml:space="preserve">Assets &amp; Maintenance</w:t>
            </w:r>
          </w:p>
        </w:tc>
        <w:tc>
          <w:tcPr>
            <w:tcW w:type="dxa" w:w="3800"/>
            <w:shd w:fill="F5F5F5" w:color="auto" w:val="clear"/>
            <w:tcMar>
              <w:top w:type="dxa" w:w="70"/>
              <w:left w:type="dxa" w:w="100"/>
              <w:bottom w:type="dxa" w:w="70"/>
              <w:right w:type="dxa" w:w="100"/>
            </w:tcMar>
          </w:tcPr>
          <w:p>
            <w:r>
              <w:rPr>
                <w:b w:val="false"/>
                <w:bCs w:val="false"/>
              </w:rPr>
              <w:t xml:space="preserve">Equipment register, location/assignment, maintenance schedules, repairs, service history.</w:t>
            </w:r>
          </w:p>
        </w:tc>
        <w:tc>
          <w:tcPr>
            <w:tcW w:type="dxa" w:w="2700"/>
            <w:shd w:fill="F5F5F5" w:color="auto" w:val="clear"/>
            <w:tcMar>
              <w:top w:type="dxa" w:w="70"/>
              <w:left w:type="dxa" w:w="100"/>
              <w:bottom w:type="dxa" w:w="70"/>
              <w:right w:type="dxa" w:w="100"/>
            </w:tcMar>
          </w:tcPr>
          <w:p>
            <w:r>
              <w:rPr>
                <w:b w:val="false"/>
                <w:bCs w:val="false"/>
              </w:rPr>
              <w:t xml:space="preserve">New.</w:t>
            </w:r>
          </w:p>
        </w:tc>
      </w:tr>
      <w:tr>
        <w:tc>
          <w:tcPr>
            <w:tcW w:type="dxa" w:w="500"/>
            <w:tcMar>
              <w:top w:type="dxa" w:w="70"/>
              <w:left w:type="dxa" w:w="100"/>
              <w:bottom w:type="dxa" w:w="70"/>
              <w:right w:type="dxa" w:w="100"/>
            </w:tcMar>
          </w:tcPr>
          <w:p>
            <w:r>
              <w:rPr>
                <w:b w:val="false"/>
                <w:bCs w:val="false"/>
              </w:rPr>
              <w:t xml:space="preserve">19</w:t>
            </w:r>
          </w:p>
        </w:tc>
        <w:tc>
          <w:tcPr>
            <w:tcW w:type="dxa" w:w="2000"/>
            <w:tcMar>
              <w:top w:type="dxa" w:w="70"/>
              <w:left w:type="dxa" w:w="100"/>
              <w:bottom w:type="dxa" w:w="70"/>
              <w:right w:type="dxa" w:w="100"/>
            </w:tcMar>
          </w:tcPr>
          <w:p>
            <w:r>
              <w:rPr>
                <w:b w:val="false"/>
                <w:bCs w:val="false"/>
              </w:rPr>
              <w:t xml:space="preserve">Medical Records / Health Information</w:t>
            </w:r>
          </w:p>
        </w:tc>
        <w:tc>
          <w:tcPr>
            <w:tcW w:type="dxa" w:w="3800"/>
            <w:tcMar>
              <w:top w:type="dxa" w:w="70"/>
              <w:left w:type="dxa" w:w="100"/>
              <w:bottom w:type="dxa" w:w="70"/>
              <w:right w:type="dxa" w:w="100"/>
            </w:tcMar>
          </w:tcPr>
          <w:p>
            <w:r>
              <w:rPr>
                <w:b w:val="false"/>
                <w:bCs w:val="false"/>
              </w:rPr>
              <w:t xml:space="preserve">Records management, coding, statistics, reporting, disease surveillance, data exports.</w:t>
            </w:r>
          </w:p>
        </w:tc>
        <w:tc>
          <w:tcPr>
            <w:tcW w:type="dxa" w:w="2700"/>
            <w:tcMar>
              <w:top w:type="dxa" w:w="70"/>
              <w:left w:type="dxa" w:w="100"/>
              <w:bottom w:type="dxa" w:w="70"/>
              <w:right w:type="dxa" w:w="100"/>
            </w:tcMar>
          </w:tcPr>
          <w:p>
            <w:r>
              <w:rPr>
                <w:b w:val="false"/>
                <w:bCs w:val="false"/>
              </w:rPr>
              <w:t xml:space="preserve">Expands previous Module 13; now explicitly tied to GHS Health Information Management SOPs and disease surveillance reporting.</w:t>
            </w:r>
          </w:p>
        </w:tc>
      </w:tr>
      <w:tr>
        <w:tc>
          <w:tcPr>
            <w:tcW w:type="dxa" w:w="500"/>
            <w:shd w:fill="F5F5F5" w:color="auto" w:val="clear"/>
            <w:tcMar>
              <w:top w:type="dxa" w:w="70"/>
              <w:left w:type="dxa" w:w="100"/>
              <w:bottom w:type="dxa" w:w="70"/>
              <w:right w:type="dxa" w:w="100"/>
            </w:tcMar>
          </w:tcPr>
          <w:p>
            <w:r>
              <w:rPr>
                <w:b w:val="false"/>
                <w:bCs w:val="false"/>
              </w:rPr>
              <w:t xml:space="preserve">20</w:t>
            </w:r>
          </w:p>
        </w:tc>
        <w:tc>
          <w:tcPr>
            <w:tcW w:type="dxa" w:w="2000"/>
            <w:shd w:fill="F5F5F5" w:color="auto" w:val="clear"/>
            <w:tcMar>
              <w:top w:type="dxa" w:w="70"/>
              <w:left w:type="dxa" w:w="100"/>
              <w:bottom w:type="dxa" w:w="70"/>
              <w:right w:type="dxa" w:w="100"/>
            </w:tcMar>
          </w:tcPr>
          <w:p>
            <w:r>
              <w:rPr>
                <w:b w:val="false"/>
                <w:bCs w:val="false"/>
              </w:rPr>
              <w:t xml:space="preserve">Administration</w:t>
            </w:r>
          </w:p>
        </w:tc>
        <w:tc>
          <w:tcPr>
            <w:tcW w:type="dxa" w:w="3800"/>
            <w:shd w:fill="F5F5F5" w:color="auto" w:val="clear"/>
            <w:tcMar>
              <w:top w:type="dxa" w:w="70"/>
              <w:left w:type="dxa" w:w="100"/>
              <w:bottom w:type="dxa" w:w="70"/>
              <w:right w:type="dxa" w:w="100"/>
            </w:tcMar>
          </w:tcPr>
          <w:p>
            <w:r>
              <w:rPr>
                <w:b w:val="false"/>
                <w:bCs w:val="false"/>
              </w:rPr>
              <w:t xml:space="preserve">Hospital configuration, departments, services, pricing, insurance configuration, facility settings.</w:t>
            </w:r>
          </w:p>
        </w:tc>
        <w:tc>
          <w:tcPr>
            <w:tcW w:type="dxa" w:w="2700"/>
            <w:shd w:fill="F5F5F5" w:color="auto" w:val="clear"/>
            <w:tcMar>
              <w:top w:type="dxa" w:w="70"/>
              <w:left w:type="dxa" w:w="100"/>
              <w:bottom w:type="dxa" w:w="70"/>
              <w:right w:type="dxa" w:w="100"/>
            </w:tcMar>
          </w:tcPr>
          <w:p>
            <w:r>
              <w:rPr>
                <w:b w:val="false"/>
                <w:bCs w:val="false"/>
              </w:rPr>
              <w:t xml:space="preserve">Expands previous “Facility Settings” shared service into a full module.</w:t>
            </w:r>
          </w:p>
        </w:tc>
      </w:tr>
      <w:tr>
        <w:tc>
          <w:tcPr>
            <w:tcW w:type="dxa" w:w="500"/>
            <w:tcMar>
              <w:top w:type="dxa" w:w="70"/>
              <w:left w:type="dxa" w:w="100"/>
              <w:bottom w:type="dxa" w:w="70"/>
              <w:right w:type="dxa" w:w="100"/>
            </w:tcMar>
          </w:tcPr>
          <w:p>
            <w:r>
              <w:rPr>
                <w:b w:val="false"/>
                <w:bCs w:val="false"/>
              </w:rPr>
              <w:t xml:space="preserve">21</w:t>
            </w:r>
          </w:p>
        </w:tc>
        <w:tc>
          <w:tcPr>
            <w:tcW w:type="dxa" w:w="2000"/>
            <w:tcMar>
              <w:top w:type="dxa" w:w="70"/>
              <w:left w:type="dxa" w:w="100"/>
              <w:bottom w:type="dxa" w:w="70"/>
              <w:right w:type="dxa" w:w="100"/>
            </w:tcMar>
          </w:tcPr>
          <w:p>
            <w:r>
              <w:rPr>
                <w:b w:val="false"/>
                <w:bCs w:val="false"/>
              </w:rPr>
              <w:t xml:space="preserve">Reporting &amp; Analytics</w:t>
            </w:r>
          </w:p>
        </w:tc>
        <w:tc>
          <w:tcPr>
            <w:tcW w:type="dxa" w:w="3800"/>
            <w:tcMar>
              <w:top w:type="dxa" w:w="70"/>
              <w:left w:type="dxa" w:w="100"/>
              <w:bottom w:type="dxa" w:w="70"/>
              <w:right w:type="dxa" w:w="100"/>
            </w:tcMar>
          </w:tcPr>
          <w:p>
            <w:r>
              <w:rPr>
                <w:b w:val="false"/>
                <w:bCs w:val="false"/>
              </w:rPr>
              <w:t xml:space="preserve">OPD statistics, admissions, bed occupancy, mortality, revenue, pharmacy, lab, NHIS, referrals, staff, inventory.</w:t>
            </w:r>
          </w:p>
        </w:tc>
        <w:tc>
          <w:tcPr>
            <w:tcW w:type="dxa" w:w="2700"/>
            <w:tcMar>
              <w:top w:type="dxa" w:w="70"/>
              <w:left w:type="dxa" w:w="100"/>
              <w:bottom w:type="dxa" w:w="70"/>
              <w:right w:type="dxa" w:w="100"/>
            </w:tcMar>
          </w:tcPr>
          <w:p>
            <w:r>
              <w:rPr>
                <w:b w:val="false"/>
                <w:bCs w:val="false"/>
              </w:rPr>
              <w:t xml:space="preserve">Already designed in principle (previously Module 14); now draws from the full 21-module dataset.</w:t>
            </w:r>
          </w:p>
        </w:tc>
      </w:tr>
    </w:tbl>
    <w:p>
      <w:r>
        <w:br w:type="page"/>
      </w:r>
    </w:p>
    <w:p>
      <w:pPr>
        <w:pStyle w:val="Heading1"/>
        <w:spacing w:after="180" w:before="380"/>
      </w:pPr>
      <w:r>
        <w:t xml:space="preserve">8. Ghana-Specific Integrations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6400"/>
      </w:tblGrid>
      <w:tr>
        <w:trPr>
          <w:tblHeader/>
        </w:trPr>
        <w:tc>
          <w:tcPr>
            <w:tcW w:type="dxa" w:w="3100"/>
            <w:shd w:fill="1F5C4A" w:color="auto" w:val="clear"/>
            <w:tcMar>
              <w:top w:type="dxa" w:w="70"/>
              <w:left w:type="dxa" w:w="100"/>
              <w:bottom w:type="dxa" w:w="70"/>
              <w:right w:type="dxa" w:w="100"/>
            </w:tcMar>
          </w:tcPr>
          <w:p>
            <w:r>
              <w:rPr>
                <w:b/>
                <w:bCs/>
                <w:color w:val="FFFFFF"/>
              </w:rPr>
              <w:t xml:space="preserve">Integration</w:t>
            </w:r>
          </w:p>
        </w:tc>
        <w:tc>
          <w:tcPr>
            <w:tcW w:type="dxa" w:w="6400"/>
            <w:shd w:fill="1F5C4A" w:color="auto" w:val="clear"/>
            <w:tcMar>
              <w:top w:type="dxa" w:w="70"/>
              <w:left w:type="dxa" w:w="100"/>
              <w:bottom w:type="dxa" w:w="70"/>
              <w:right w:type="dxa" w:w="100"/>
            </w:tcMar>
          </w:tcPr>
          <w:p>
            <w:r>
              <w:rPr>
                <w:b/>
                <w:bCs/>
                <w:color w:val="FFFFFF"/>
              </w:rPr>
              <w:t xml:space="preserve">What It Means for the System</w:t>
            </w:r>
          </w:p>
        </w:tc>
      </w:tr>
      <w:tr>
        <w:tc>
          <w:tcPr>
            <w:tcW w:type="dxa" w:w="3100"/>
            <w:tcMar>
              <w:top w:type="dxa" w:w="70"/>
              <w:left w:type="dxa" w:w="100"/>
              <w:bottom w:type="dxa" w:w="70"/>
              <w:right w:type="dxa" w:w="100"/>
            </w:tcMar>
          </w:tcPr>
          <w:p>
            <w:r>
              <w:rPr>
                <w:b w:val="false"/>
                <w:bCs w:val="false"/>
              </w:rPr>
              <w:t xml:space="preserve">NHIS / NHIA CLAIM-it</w:t>
            </w:r>
          </w:p>
        </w:tc>
        <w:tc>
          <w:tcPr>
            <w:tcW w:type="dxa" w:w="6400"/>
            <w:tcMar>
              <w:top w:type="dxa" w:w="70"/>
              <w:left w:type="dxa" w:w="100"/>
              <w:bottom w:type="dxa" w:w="70"/>
              <w:right w:type="dxa" w:w="100"/>
            </w:tcMar>
          </w:tcPr>
          <w:p>
            <w:r>
              <w:rPr>
                <w:b w:val="false"/>
                <w:bCs w:val="false"/>
              </w:rPr>
              <w:t xml:space="preserve">Module 14 should generate claims in a format compatible with CLAIM-it, support offline claim preparation, and track status (submitted/vetted/paid/rejected) mirroring the NHIA Provider Portal's stages.</w:t>
            </w:r>
          </w:p>
        </w:tc>
      </w:tr>
      <w:tr>
        <w:tc>
          <w:tcPr>
            <w:tcW w:type="dxa" w:w="3100"/>
            <w:shd w:fill="F5F5F5" w:color="auto" w:val="clear"/>
            <w:tcMar>
              <w:top w:type="dxa" w:w="70"/>
              <w:left w:type="dxa" w:w="100"/>
              <w:bottom w:type="dxa" w:w="70"/>
              <w:right w:type="dxa" w:w="100"/>
            </w:tcMar>
          </w:tcPr>
          <w:p>
            <w:r>
              <w:rPr>
                <w:b w:val="false"/>
                <w:bCs w:val="false"/>
              </w:rPr>
              <w:t xml:space="preserve">NHIA NeHFAMS (attendance)</w:t>
            </w:r>
          </w:p>
        </w:tc>
        <w:tc>
          <w:tcPr>
            <w:tcW w:type="dxa" w:w="6400"/>
            <w:shd w:fill="F5F5F5" w:color="auto" w:val="clear"/>
            <w:tcMar>
              <w:top w:type="dxa" w:w="70"/>
              <w:left w:type="dxa" w:w="100"/>
              <w:bottom w:type="dxa" w:w="70"/>
              <w:right w:type="dxa" w:w="100"/>
            </w:tcMar>
          </w:tcPr>
          <w:p>
            <w:r>
              <w:rPr>
                <w:b w:val="false"/>
                <w:bCs w:val="false"/>
              </w:rPr>
              <w:t xml:space="preserve">Reinforces that NHIS attendance/eligibility verification is a distinct step (Module 14) at or before registration, not assumed at billing time.</w:t>
            </w:r>
          </w:p>
        </w:tc>
      </w:tr>
      <w:tr>
        <w:tc>
          <w:tcPr>
            <w:tcW w:type="dxa" w:w="3100"/>
            <w:tcMar>
              <w:top w:type="dxa" w:w="70"/>
              <w:left w:type="dxa" w:w="100"/>
              <w:bottom w:type="dxa" w:w="70"/>
              <w:right w:type="dxa" w:w="100"/>
            </w:tcMar>
          </w:tcPr>
          <w:p>
            <w:r>
              <w:rPr>
                <w:b w:val="false"/>
                <w:bCs w:val="false"/>
              </w:rPr>
              <w:t xml:space="preserve">Ghana Card / national identity</w:t>
            </w:r>
          </w:p>
        </w:tc>
        <w:tc>
          <w:tcPr>
            <w:tcW w:type="dxa" w:w="6400"/>
            <w:tcMar>
              <w:top w:type="dxa" w:w="70"/>
              <w:left w:type="dxa" w:w="100"/>
              <w:bottom w:type="dxa" w:w="70"/>
              <w:right w:type="dxa" w:w="100"/>
            </w:tcMar>
          </w:tcPr>
          <w:p>
            <w:r>
              <w:rPr>
                <w:b w:val="false"/>
                <w:bCs w:val="false"/>
              </w:rPr>
              <w:t xml:space="preserve">Where available, Patient Management (Module 2) should support recording a Ghana Card reference as an additional identifier alongside NHIS number, strengthening duplicate detection.</w:t>
            </w:r>
          </w:p>
        </w:tc>
      </w:tr>
      <w:tr>
        <w:tc>
          <w:tcPr>
            <w:tcW w:type="dxa" w:w="3100"/>
            <w:shd w:fill="F5F5F5" w:color="auto" w:val="clear"/>
            <w:tcMar>
              <w:top w:type="dxa" w:w="70"/>
              <w:left w:type="dxa" w:w="100"/>
              <w:bottom w:type="dxa" w:w="70"/>
              <w:right w:type="dxa" w:w="100"/>
            </w:tcMar>
          </w:tcPr>
          <w:p>
            <w:r>
              <w:rPr>
                <w:b w:val="false"/>
                <w:bCs w:val="false"/>
              </w:rPr>
              <w:t xml:space="preserve">GHS Health Information Management SOPs</w:t>
            </w:r>
          </w:p>
        </w:tc>
        <w:tc>
          <w:tcPr>
            <w:tcW w:type="dxa" w:w="6400"/>
            <w:shd w:fill="F5F5F5" w:color="auto" w:val="clear"/>
            <w:tcMar>
              <w:top w:type="dxa" w:w="70"/>
              <w:left w:type="dxa" w:w="100"/>
              <w:bottom w:type="dxa" w:w="70"/>
              <w:right w:type="dxa" w:w="100"/>
            </w:tcMar>
          </w:tcPr>
          <w:p>
            <w:r>
              <w:rPr>
                <w:b w:val="false"/>
                <w:bCs w:val="false"/>
              </w:rPr>
              <w:t xml:space="preserve">Medical Records/Health Information (Module 19) should align its coding, statistics, and reporting formats with GHS's formal SOPs rather than an invented internal format.</w:t>
            </w:r>
          </w:p>
        </w:tc>
      </w:tr>
      <w:tr>
        <w:tc>
          <w:tcPr>
            <w:tcW w:type="dxa" w:w="3100"/>
            <w:tcMar>
              <w:top w:type="dxa" w:w="70"/>
              <w:left w:type="dxa" w:w="100"/>
              <w:bottom w:type="dxa" w:w="70"/>
              <w:right w:type="dxa" w:w="100"/>
            </w:tcMar>
          </w:tcPr>
          <w:p>
            <w:r>
              <w:rPr>
                <w:b w:val="false"/>
                <w:bCs w:val="false"/>
              </w:rPr>
              <w:t xml:space="preserve">Disease surveillance (IDSR)</w:t>
            </w:r>
          </w:p>
        </w:tc>
        <w:tc>
          <w:tcPr>
            <w:tcW w:type="dxa" w:w="6400"/>
            <w:tcMar>
              <w:top w:type="dxa" w:w="70"/>
              <w:left w:type="dxa" w:w="100"/>
              <w:bottom w:type="dxa" w:w="70"/>
              <w:right w:type="dxa" w:w="100"/>
            </w:tcMar>
          </w:tcPr>
          <w:p>
            <w:r>
              <w:rPr>
                <w:b w:val="false"/>
                <w:bCs w:val="false"/>
              </w:rPr>
              <w:t xml:space="preserve">Diagnosis coding feeding Module 19/21 should support Ghana's Integrated Disease Surveillance and Response reporting categories.</w:t>
            </w:r>
          </w:p>
        </w:tc>
      </w:tr>
      <w:tr>
        <w:tc>
          <w:tcPr>
            <w:tcW w:type="dxa" w:w="3100"/>
            <w:shd w:fill="F5F5F5" w:color="auto" w:val="clear"/>
            <w:tcMar>
              <w:top w:type="dxa" w:w="70"/>
              <w:left w:type="dxa" w:w="100"/>
              <w:bottom w:type="dxa" w:w="70"/>
              <w:right w:type="dxa" w:w="100"/>
            </w:tcMar>
          </w:tcPr>
          <w:p>
            <w:r>
              <w:rPr>
                <w:b w:val="false"/>
                <w:bCs w:val="false"/>
              </w:rPr>
              <w:t xml:space="preserve">MoH Procurement / GhILMIS</w:t>
            </w:r>
          </w:p>
        </w:tc>
        <w:tc>
          <w:tcPr>
            <w:tcW w:type="dxa" w:w="6400"/>
            <w:shd w:fill="F5F5F5" w:color="auto" w:val="clear"/>
            <w:tcMar>
              <w:top w:type="dxa" w:w="70"/>
              <w:left w:type="dxa" w:w="100"/>
              <w:bottom w:type="dxa" w:w="70"/>
              <w:right w:type="dxa" w:w="100"/>
            </w:tcMar>
          </w:tcPr>
          <w:p>
            <w:r>
              <w:rPr>
                <w:b w:val="false"/>
                <w:bCs w:val="false"/>
              </w:rPr>
              <w:t xml:space="preserve">Procurement (Module 15) and Stores (Module 16) should be designed to eventually exchange data with or mirror the structure of Ghana's electronic logistics system (GhILMIS) for supply-chain visibility.</w:t>
            </w:r>
          </w:p>
        </w:tc>
      </w:tr>
      <w:tr>
        <w:tc>
          <w:tcPr>
            <w:tcW w:type="dxa" w:w="3100"/>
            <w:tcMar>
              <w:top w:type="dxa" w:w="70"/>
              <w:left w:type="dxa" w:w="100"/>
              <w:bottom w:type="dxa" w:w="70"/>
              <w:right w:type="dxa" w:w="100"/>
            </w:tcMar>
          </w:tcPr>
          <w:p>
            <w:r>
              <w:rPr>
                <w:b w:val="false"/>
                <w:bCs w:val="false"/>
              </w:rPr>
              <w:t xml:space="preserve">MoH Referral Policy</w:t>
            </w:r>
          </w:p>
        </w:tc>
        <w:tc>
          <w:tcPr>
            <w:tcW w:type="dxa" w:w="6400"/>
            <w:tcMar>
              <w:top w:type="dxa" w:w="70"/>
              <w:left w:type="dxa" w:w="100"/>
              <w:bottom w:type="dxa" w:w="70"/>
              <w:right w:type="dxa" w:w="100"/>
            </w:tcMar>
          </w:tcPr>
          <w:p>
            <w:r>
              <w:rPr>
                <w:b w:val="false"/>
                <w:bCs w:val="false"/>
              </w:rPr>
              <w:t xml:space="preserve">Referral (Module 12) must support both external (facility-to-facility, up and back down the care hierarchy) and internal (department-to-department) referral, per Section 4.3.</w:t>
            </w:r>
          </w:p>
        </w:tc>
      </w:tr>
      <w:tr>
        <w:tc>
          <w:tcPr>
            <w:tcW w:type="dxa" w:w="3100"/>
            <w:shd w:fill="F5F5F5" w:color="auto" w:val="clear"/>
            <w:tcMar>
              <w:top w:type="dxa" w:w="70"/>
              <w:left w:type="dxa" w:w="100"/>
              <w:bottom w:type="dxa" w:w="70"/>
              <w:right w:type="dxa" w:w="100"/>
            </w:tcMar>
          </w:tcPr>
          <w:p>
            <w:r>
              <w:rPr>
                <w:b w:val="false"/>
                <w:bCs w:val="false"/>
              </w:rPr>
              <w:t xml:space="preserve">GHS Patient Navigation &amp; Care Continuity System (PNCCS)</w:t>
            </w:r>
          </w:p>
        </w:tc>
        <w:tc>
          <w:tcPr>
            <w:tcW w:type="dxa" w:w="6400"/>
            <w:shd w:fill="F5F5F5" w:color="auto" w:val="clear"/>
            <w:tcMar>
              <w:top w:type="dxa" w:w="70"/>
              <w:left w:type="dxa" w:w="100"/>
              <w:bottom w:type="dxa" w:w="70"/>
              <w:right w:type="dxa" w:w="100"/>
            </w:tcMar>
          </w:tcPr>
          <w:p>
            <w:r>
              <w:rPr>
                <w:b w:val="false"/>
                <w:bCs w:val="false"/>
              </w:rPr>
              <w:t xml:space="preserve">Reinforces that the architecture should support continuity of care across visits and, eventually, across facilities/community health workers — not just a single hospital's records in isolation.</w:t>
            </w:r>
          </w:p>
        </w:tc>
      </w:tr>
    </w:tbl>
    <w:p>
      <w:r>
        <w:br w:type="page"/>
      </w:r>
    </w:p>
    <w:p>
      <w:pPr>
        <w:pStyle w:val="Heading1"/>
        <w:spacing w:after="180" w:before="380"/>
      </w:pPr>
      <w:r>
        <w:t xml:space="preserve">9. Non-Functional Requirements (Updated)</w:t>
      </w:r>
    </w:p>
    <w:p>
      <w:pPr>
        <w:spacing w:after="140"/>
      </w:pPr>
      <w:r>
        <w:t xml:space="preserve">All Version 1 non-functional requirements (offline resilience, Data Protection Act 843 compliance, audit trail, backup/disaster recovery, scalability, usability, device flexibility) carry forward unchanged. Two are added given the wider scope of this revision:</w:t>
      </w:r>
    </w:p>
    <w:p>
      <w:pPr>
        <w:pStyle w:val="ListParagraph"/>
        <w:numPr>
          <w:ilvl w:val="0"/>
          <w:numId w:val="2"/>
        </w:numPr>
        <w:spacing w:after="60"/>
      </w:pPr>
      <w:r>
        <w:t xml:space="preserve">Facility-level deployability: the system must be usable by a facility at any level of the care hierarchy (CHPS compound up to teaching hospital) with only the relevant modules active — a small clinic should not be forced to configure Theatre or full HR modules it doesn't use.</w:t>
      </w:r>
    </w:p>
    <w:p>
      <w:pPr>
        <w:pStyle w:val="ListParagraph"/>
        <w:numPr>
          <w:ilvl w:val="0"/>
          <w:numId w:val="2"/>
        </w:numPr>
        <w:spacing w:after="60"/>
      </w:pPr>
      <w:r>
        <w:t xml:space="preserve">Referral interoperability: referral documentation (Module 12) must be structured so that a receiving facility — potentially running a different or no electronic system — can still receive and act on it (e.g. printable/exportable referral note as a fallback to full system-to-system exchange).</w:t>
      </w:r>
    </w:p>
    <w:p>
      <w:pPr>
        <w:pStyle w:val="Heading1"/>
        <w:spacing w:after="180" w:before="380"/>
      </w:pPr>
      <w:r>
        <w:t xml:space="preserve">10. Updated Implementation Roadmap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tblHeader/>
        </w:trPr>
        <w:tc>
          <w:tcPr>
            <w:tcW w:type="dxa" w:w="1500"/>
            <w:shd w:fill="1F5C4A" w:color="auto" w:val="clear"/>
            <w:tcMar>
              <w:top w:type="dxa" w:w="70"/>
              <w:left w:type="dxa" w:w="100"/>
              <w:bottom w:type="dxa" w:w="70"/>
              <w:right w:type="dxa" w:w="100"/>
            </w:tcMar>
          </w:tcPr>
          <w:p>
            <w:r>
              <w:rPr>
                <w:b/>
                <w:bCs/>
                <w:color w:val="FFFFFF"/>
              </w:rPr>
              <w:t xml:space="preserve">Phase</w:t>
            </w:r>
          </w:p>
        </w:tc>
        <w:tc>
          <w:tcPr>
            <w:tcW w:type="dxa" w:w="8400"/>
            <w:shd w:fill="1F5C4A" w:color="auto" w:val="clear"/>
            <w:tcMar>
              <w:top w:type="dxa" w:w="70"/>
              <w:left w:type="dxa" w:w="100"/>
              <w:bottom w:type="dxa" w:w="70"/>
              <w:right w:type="dxa" w:w="100"/>
            </w:tcMar>
          </w:tcPr>
          <w:p>
            <w:r>
              <w:rPr>
                <w:b/>
                <w:bCs/>
                <w:color w:val="FFFFFF"/>
              </w:rPr>
              <w:t xml:space="preserve">Focus</w:t>
            </w:r>
          </w:p>
        </w:tc>
      </w:tr>
      <w:tr>
        <w:tc>
          <w:tcPr>
            <w:tcW w:type="dxa" w:w="1500"/>
            <w:tcMar>
              <w:top w:type="dxa" w:w="70"/>
              <w:left w:type="dxa" w:w="100"/>
              <w:bottom w:type="dxa" w:w="70"/>
              <w:right w:type="dxa" w:w="100"/>
            </w:tcMar>
          </w:tcPr>
          <w:p>
            <w:r>
              <w:rPr>
                <w:b w:val="false"/>
                <w:bCs w:val="false"/>
              </w:rPr>
              <w:t xml:space="preserve">Phase 1</w:t>
            </w:r>
          </w:p>
        </w:tc>
        <w:tc>
          <w:tcPr>
            <w:tcW w:type="dxa" w:w="8400"/>
            <w:tcMar>
              <w:top w:type="dxa" w:w="70"/>
              <w:left w:type="dxa" w:w="100"/>
              <w:bottom w:type="dxa" w:w="70"/>
              <w:right w:type="dxa" w:w="100"/>
            </w:tcMar>
          </w:tcPr>
          <w:p>
            <w:r>
              <w:rPr>
                <w:b w:val="false"/>
                <w:bCs w:val="false"/>
              </w:rPr>
              <w:t xml:space="preserve">Core, Patient Management, Encounters, Triage/Nursing, Clinical/Doctor, Laboratory, Pharmacy — the complete OPD flow (already designed in depth).</w:t>
            </w:r>
          </w:p>
        </w:tc>
      </w:tr>
      <w:tr>
        <w:tc>
          <w:tcPr>
            <w:tcW w:type="dxa" w:w="1500"/>
            <w:shd w:fill="F5F5F5" w:color="auto" w:val="clear"/>
            <w:tcMar>
              <w:top w:type="dxa" w:w="70"/>
              <w:left w:type="dxa" w:w="100"/>
              <w:bottom w:type="dxa" w:w="70"/>
              <w:right w:type="dxa" w:w="100"/>
            </w:tcMar>
          </w:tcPr>
          <w:p>
            <w:r>
              <w:rPr>
                <w:b w:val="false"/>
                <w:bCs w:val="false"/>
              </w:rPr>
              <w:t xml:space="preserve">Phase 2</w:t>
            </w:r>
          </w:p>
        </w:tc>
        <w:tc>
          <w:tcPr>
            <w:tcW w:type="dxa" w:w="8400"/>
            <w:shd w:fill="F5F5F5" w:color="auto" w:val="clear"/>
            <w:tcMar>
              <w:top w:type="dxa" w:w="70"/>
              <w:left w:type="dxa" w:w="100"/>
              <w:bottom w:type="dxa" w:w="70"/>
              <w:right w:type="dxa" w:w="100"/>
            </w:tcMar>
          </w:tcPr>
          <w:p>
            <w:r>
              <w:rPr>
                <w:b w:val="false"/>
                <w:bCs w:val="false"/>
              </w:rPr>
              <w:t xml:space="preserve">Billing &amp; Finance, NHIS (CLAIM-it-aligned), Admissions &amp; Bed Management — gets a facility to a billable, admitting hospital.</w:t>
            </w:r>
          </w:p>
        </w:tc>
      </w:tr>
      <w:tr>
        <w:tc>
          <w:tcPr>
            <w:tcW w:type="dxa" w:w="1500"/>
            <w:tcMar>
              <w:top w:type="dxa" w:w="70"/>
              <w:left w:type="dxa" w:w="100"/>
              <w:bottom w:type="dxa" w:w="70"/>
              <w:right w:type="dxa" w:w="100"/>
            </w:tcMar>
          </w:tcPr>
          <w:p>
            <w:r>
              <w:rPr>
                <w:b w:val="false"/>
                <w:bCs w:val="false"/>
              </w:rPr>
              <w:t xml:space="preserve">Phase 3</w:t>
            </w:r>
          </w:p>
        </w:tc>
        <w:tc>
          <w:tcPr>
            <w:tcW w:type="dxa" w:w="8400"/>
            <w:tcMar>
              <w:top w:type="dxa" w:w="70"/>
              <w:left w:type="dxa" w:w="100"/>
              <w:bottom w:type="dxa" w:w="70"/>
              <w:right w:type="dxa" w:w="100"/>
            </w:tcMar>
          </w:tcPr>
          <w:p>
            <w:r>
              <w:rPr>
                <w:b w:val="false"/>
                <w:bCs w:val="false"/>
              </w:rPr>
              <w:t xml:space="preserve">Emergency (as its own subsystem), Referral (internal + external), Radiology — extends beyond routine OPD/admission.</w:t>
            </w:r>
          </w:p>
        </w:tc>
      </w:tr>
      <w:tr>
        <w:tc>
          <w:tcPr>
            <w:tcW w:type="dxa" w:w="1500"/>
            <w:shd w:fill="F5F5F5" w:color="auto" w:val="clear"/>
            <w:tcMar>
              <w:top w:type="dxa" w:w="70"/>
              <w:left w:type="dxa" w:w="100"/>
              <w:bottom w:type="dxa" w:w="70"/>
              <w:right w:type="dxa" w:w="100"/>
            </w:tcMar>
          </w:tcPr>
          <w:p>
            <w:r>
              <w:rPr>
                <w:b w:val="false"/>
                <w:bCs w:val="false"/>
              </w:rPr>
              <w:t xml:space="preserve">Phase 4</w:t>
            </w:r>
          </w:p>
        </w:tc>
        <w:tc>
          <w:tcPr>
            <w:tcW w:type="dxa" w:w="8400"/>
            <w:shd w:fill="F5F5F5" w:color="auto" w:val="clear"/>
            <w:tcMar>
              <w:top w:type="dxa" w:w="70"/>
              <w:left w:type="dxa" w:w="100"/>
              <w:bottom w:type="dxa" w:w="70"/>
              <w:right w:type="dxa" w:w="100"/>
            </w:tcMar>
          </w:tcPr>
          <w:p>
            <w:r>
              <w:rPr>
                <w:b w:val="false"/>
                <w:bCs w:val="false"/>
              </w:rPr>
              <w:t xml:space="preserve">Theatre, Procurement, Stores, Assets &amp; Maintenance — full operational hospital, including surgery and supply chain.</w:t>
            </w:r>
          </w:p>
        </w:tc>
      </w:tr>
      <w:tr>
        <w:tc>
          <w:tcPr>
            <w:tcW w:type="dxa" w:w="1500"/>
            <w:tcMar>
              <w:top w:type="dxa" w:w="70"/>
              <w:left w:type="dxa" w:w="100"/>
              <w:bottom w:type="dxa" w:w="70"/>
              <w:right w:type="dxa" w:w="100"/>
            </w:tcMar>
          </w:tcPr>
          <w:p>
            <w:r>
              <w:rPr>
                <w:b w:val="false"/>
                <w:bCs w:val="false"/>
              </w:rPr>
              <w:t xml:space="preserve">Phase 5</w:t>
            </w:r>
          </w:p>
        </w:tc>
        <w:tc>
          <w:tcPr>
            <w:tcW w:type="dxa" w:w="8400"/>
            <w:tcMar>
              <w:top w:type="dxa" w:w="70"/>
              <w:left w:type="dxa" w:w="100"/>
              <w:bottom w:type="dxa" w:w="70"/>
              <w:right w:type="dxa" w:w="100"/>
            </w:tcMar>
          </w:tcPr>
          <w:p>
            <w:r>
              <w:rPr>
                <w:b w:val="false"/>
                <w:bCs w:val="false"/>
              </w:rPr>
              <w:t xml:space="preserve">HR, Medical Records/Health Information, Administration, Reporting &amp; Analytics — full institutional and statutory reporting layer.</w:t>
            </w:r>
          </w:p>
        </w:tc>
      </w:tr>
    </w:tbl>
    <w:p>
      <w:r>
        <w:br w:type="page"/>
      </w:r>
    </w:p>
    <w:p>
      <w:pPr>
        <w:pStyle w:val="Heading1"/>
        <w:spacing w:after="180" w:before="380"/>
      </w:pPr>
      <w:r>
        <w:t xml:space="preserve">Appendix: Full End-to-End Patient Journey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color="auto" w:val="clear"/>
            <w:tcMar>
              <w:top w:type="dxa" w:w="160"/>
              <w:left w:type="dxa" w:w="200"/>
              <w:bottom w:type="dxa" w:w="160"/>
              <w:right w:type="dxa" w:w="200"/>
            </w:tcMar>
          </w:tcPr>
          <w:p>
            <w:r>
              <w:rPr>
                <w:rFonts w:ascii="Courier New" w:cs="Courier New" w:eastAsia="Courier New" w:hAnsi="Courier New"/>
                <w:sz w:val="18"/>
                <w:szCs w:val="18"/>
              </w:rPr>
              <w:t xml:space="preserve">                    PATIENT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ENTRY / REFERRAL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REGISTRATION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PATIENT IDENTIFICATION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NHIS / PAYMENT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TRIAGE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CONSULTATION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LAB       IMAGING    PHARMACY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TREATMENT   ADMISSION   REFERRAL</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v           v</w:t>
            </w:r>
          </w:p>
          <w:p>
            <w:r>
              <w:rPr>
                <w:rFonts w:ascii="Courier New" w:cs="Courier New" w:eastAsia="Courier New" w:hAnsi="Courier New"/>
                <w:sz w:val="18"/>
                <w:szCs w:val="18"/>
              </w:rPr>
              <w:t xml:space="preserve">            |        WARD     OTHER FACILITY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LAB  RX  IMAGING</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RECOVERY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DISCHARGE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BILLING / NHIS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FOLLOW-UP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LONGITUDINAL RECORD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Ghana HMS — System Design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2026-09-19T22:58:34.218Z</dcterms:created>
  <dcterms:modified xsi:type="dcterms:W3CDTF">2026-09-19T22:58:34.225Z</dcterms:modified>
</cp:coreProperties>
</file>

<file path=docProps/custom.xml><?xml version="1.0" encoding="utf-8"?>
<Properties xmlns="http://schemas.openxmlformats.org/officeDocument/2006/custom-properties" xmlns:vt="http://schemas.openxmlformats.org/officeDocument/2006/docPropsVTypes"/>
</file>