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60"/>
      </w:pPr>
      <w:r>
        <w:t>3. Results</w:t>
      </w:r>
    </w:p>
    <w:p>
      <w:pPr>
        <w:pStyle w:val="Heading2"/>
        <w:spacing w:before="240" w:after="120"/>
      </w:pPr>
      <w:r>
        <w:t>3.1 Data completeness, quality-control audit, and overall MDA8 O3 patterns</w:t>
      </w:r>
    </w:p>
    <w:p>
      <w:pPr>
        <w:spacing w:after="160"/>
        <w:jc w:val="both"/>
      </w:pPr>
      <w:r>
        <w:t>The final station-day dataset contained 35,064 records from 12 monitoring stations in Kaohsiung between January 1, 2018 and December 31, 2025 (Table 1). Data completeness was high across the network. The overall missing rate was 0.15% for MDA8 O3, 0.14% for daily maximum temperature, 0.32% for relative humidity, 0.10% for wind speed, 0.10% for rainfall, and 0.07% for sunshine duration. The minimum station-year MDA8 O3 availability was 95.1%, and the median station-year availability was 100%.</w:t>
      </w:r>
    </w:p>
    <w:p>
      <w:pPr>
        <w:spacing w:after="160"/>
        <w:jc w:val="both"/>
      </w:pPr>
      <w:r>
        <w:t>The reconstructed physical quality-control audit identified 2,588 values or core-variable records that were set to missing. The largest category was records in which all core variables were zero, with 1,673 records, representing 0.199% of checked core-variable records. Non-positive hourly O3 accounted for 836 values, representing 0.101% of checked O3 values. Temperature below 5 C accounted for 46 values, relative humidity less than or equal to zero for 29 values, and temperature above 45 C for 4 values. No hourly O3 values above 250 ppb, wind speeds above 30 m s-1, negative rainfall values, rainfall values above 500 mm day-1, relative humidity values above 100%, invalid wind directions, or negative co-pollutant values were detected. These results indicate that the physical screens removed only a small fraction of observations and were unlikely to determine the temporal patterns reported below.</w:t>
      </w:r>
    </w:p>
    <w:p>
      <w:pPr>
        <w:spacing w:after="160"/>
        <w:jc w:val="both"/>
      </w:pPr>
      <w:r>
        <w:t>The sunshine-data audit also supported use of the merged sunshine series. Sunshine duration for 2018-2024 came from CWA/CODiS station 467440, whereas 2025 sunshine duration came from station 467441. The 2025 merged sunshine series was numerically identical to the CWA 467441 daily records for all 365 days (Pearson r = 1.000; residual differences at machine precision only). Only two missing sunshine days were present in 2022; all other years in 2018-2025 were complete.</w:t>
      </w:r>
    </w:p>
    <w:p>
      <w:pPr>
        <w:spacing w:after="160"/>
        <w:jc w:val="both"/>
      </w:pPr>
      <w:r>
        <w:t>Across all city-days, the mean citywide MDA8 O3 was 46.97 ppb, and the mean city-day maximum MDA8 O3 was 56.98 ppb. Annual citywide mean MDA8 O3 was highest during the first three years of the study period: 48.50 ppb in 2018, 49.28 ppb in 2019, and 49.39 ppb in 2020 (Fig. 2). It then decreased to 46.54 ppb in 2021 and 44.80 ppb in 2022, increased modestly to 46.75 ppb in 2023, and declined again to 45.49 ppb in 2024 and 45.00 ppb in 2025. Thus, the observed annual series did not increase monotonically during 2018-2025; the highest annual citywide MDA8 O3 levels occurred early in the monitoring period.</w:t>
      </w:r>
    </w:p>
    <w:p>
      <w:pPr>
        <w:spacing w:after="160"/>
        <w:jc w:val="both"/>
      </w:pPr>
      <w:r>
        <w:t>MDA8 O3 showed strong seasonality. Citywide mean MDA8 O3 was highest in autumn (55.98 ppb), followed by spring (51.16 ppb), winter (49.03 ppb), and summer (31.85 ppb). At the monthly scale, the highest mean citywide MDA8 O3 occurred in October (61.16 ppb), followed by November (57.45 ppb), March (54.97 ppb), and April (54.37 ppb) (Fig. 2). In contrast, June, July, and August had much lower mean citywide MDA8 O3 values of 30.51, 31.20, and 33.80 ppb, respectively. This seasonal pattern indicates that high-O3 conditions in Kaohsiung were concentrated in the spring-autumn transition seasons rather than during midsummer.</w:t>
      </w:r>
    </w:p>
    <w:p>
      <w:pPr>
        <w:spacing w:after="160"/>
        <w:jc w:val="both"/>
      </w:pPr>
      <w:r>
        <w:t>Spatial variation was also evident across stations. Linyuan had the highest overall station-day mean MDA8 O3 (51.92 ppb) and the highest fraction of station-days above 60 ppb (37.2%). Meinong and Zuoying also had relatively high mean MDA8 O3 values of 50.03 and 49.15 ppb, respectively. The lowest mean MDA8 O3 values were observed at Xiaogang (43.25 ppb), Fengshan (43.63 ppb), and Fuxing (43.68 ppb). These differences show that the citywide pattern was not spatially uniform and that the highest long-term O3 levels were concentrated at a subset of sites.</w:t>
      </w:r>
    </w:p>
    <w:p>
      <w:pPr>
        <w:pStyle w:val="Heading2"/>
        <w:spacing w:before="240" w:after="120"/>
      </w:pPr>
      <w:r>
        <w:t>3.2 Observed and meteorologically normalized MDA8 O3 trends</w:t>
      </w:r>
    </w:p>
    <w:p>
      <w:pPr>
        <w:spacing w:after="160"/>
        <w:jc w:val="both"/>
      </w:pPr>
      <w:r>
        <w:t>The unadjusted monthly citywide MDA8 O3 series showed a negative but statistically non-significant trend during 2018-2025 (Table 2). The Seasonal Mann-Kendall Sen slope was -0.562 ppb year-1 (95% CI: -1.055 to 0.104; p = 0.143). The unadjusted trend remained non-significant in the sensitivity windows of 2018-2024 (-0.640 ppb year-1; 95% CI: -1.233 to 0.109; p = 0.129) and 2019-2025 (-0.437 ppb year-1; 95% CI: -1.102 to 0.159; p = 0.319). Therefore, the observed citywide monthly series alone suggested a decreasing direction but did not provide statistically significant evidence of a monotonic trend.</w:t>
      </w:r>
    </w:p>
    <w:p>
      <w:pPr>
        <w:spacing w:after="160"/>
        <w:jc w:val="both"/>
      </w:pPr>
      <w:r>
        <w:t>After meteorological normalization, the trend became consistently and significantly negative (Fig. 3; Table 2). The main random-forest normalization model used 34,875 complete station-days, excluding 189 rows (0.54%) with missing target or predictor values. The model had an out-of-bag R2 of 0.757. For 2018-2025, the meteorologically normalized citywide monthly MDA8 O3 trend was -0.276 ppb year-1 (95% CI: -0.399 to -0.159; p = 2.93e-05). The normalized trend was also significant in the 2018-2024 window (-0.232 ppb year-1; 95% CI: -0.360 to -0.063; p = 0.008) and the 2019-2025 window (-0.292 ppb year-1; 95% CI: -0.425 to -0.190; p = 3.81e-05).</w:t>
      </w:r>
    </w:p>
    <w:p>
      <w:pPr>
        <w:spacing w:after="160"/>
        <w:jc w:val="both"/>
      </w:pPr>
      <w:r>
        <w:t>The decreasing normalized trend was robust across sensitivity analyses. A 100-iteration normalization yielded a 2018-2025 Sen slope of -0.284 ppb year-1 (95% CI: -0.392 to -0.153; p = 1.55e-05). The within-month donor-resampling model yielded a slope of -0.270 ppb year-1 (95% CI: -0.438 to -0.069; p = 0.003). The sensitivity model including sunshine duration used 34,851 station-days, had a higher out-of-bag R2 of 0.795, and produced a stronger normalized decrease of -0.386 ppb year-1 (95% CI: -0.500 to -0.267; p = 5.47e-12). These results show that the weather-adjusted decline did not depend on the number of normalization iterations, the donor-resampling strategy, or the exclusion of sunshine duration.</w:t>
      </w:r>
    </w:p>
    <w:p>
      <w:pPr>
        <w:spacing w:after="160"/>
        <w:jc w:val="both"/>
      </w:pPr>
      <w:r>
        <w:t>Station-specific normalized trends were directionally consistent (Table 2). All 12 stations had negative meteorologically normalized Sen slopes, and 10 of the 12 stations showed statistically significant decreases at the unadjusted alpha = 0.05 level. The largest normalized declines occurred at Linyuan (-0.454 ppb year-1; p = 5.47e-12), Zuoying (-0.446 ppb year-1; p = 2.46e-09), Renwu (-0.385 ppb year-1; p = 1.52e-07), Xiaogang (-0.346 ppb year-1; p = 2.35e-04), Fengshan (-0.322 ppb year-1; p = 1.77e-04), and Qianjin (-0.312 ppb year-1; p = 1.52e-07). The only non-significant normalized decreases were at Fuxing (-0.082 ppb year-1; p = 0.093) and Meinong (-0.029 ppb year-1; p = 0.748). Under a Bonferroni correction for the 12 station-level tests (adjusted alpha = 0.05/12), 9 of the 12 decreases remained significant, with Qianzhen (p = 0.024) no longer below the adjusted threshold. Thus, meteorological normalization revealed a citywide and mostly site-consistent decrease in MDA8 O3 during the monitoring period.</w:t>
      </w:r>
    </w:p>
    <w:p>
      <w:pPr>
        <w:pStyle w:val="Heading2"/>
        <w:spacing w:before="240" w:after="120"/>
      </w:pPr>
      <w:r>
        <w:t>3.3 Extreme O3 events and 60 ppb exceedance days</w:t>
      </w:r>
    </w:p>
    <w:p>
      <w:pPr>
        <w:spacing w:after="160"/>
        <w:jc w:val="both"/>
      </w:pPr>
      <w:r>
        <w:t>The study-period P90 threshold for city-day maximum MDA8 O3 was 80.34 ppb. Using this threshold, 293 extreme O3 event days occurred during 2018-2025, representing 10.0% of the 2,922 city-days (Table 3). The P95 sensitivity threshold was 85.27 ppb and identified 147 days, representing 5.0% of city-days. In contrast, the fixed 60 ppb regulatory threshold identified 1,325 exceedance days, representing 45.3% of city-days. The percentile-based and fixed-threshold definitions therefore captured different parts of the O3 distribution: the P90 and P95 definitions described the upper tail, whereas the 60 ppb threshold described a much more frequent management-relevant condition.</w:t>
      </w:r>
    </w:p>
    <w:p>
      <w:pPr>
        <w:spacing w:after="160"/>
        <w:jc w:val="both"/>
      </w:pPr>
      <w:r>
        <w:t>Extreme O3 events became less frequent over time. P90 event days decreased from 72 days in 2018 (19.7% of that year) to 12 days in 2025 (3.3%). The P95 sensitivity definition showed a similar decrease, from 38 days in 2018 and 41 days in 2019 to 6 days in 2025. The 60 ppb exceedance-day fraction also declined, although exceedance days remained common. Exceedance days accounted for 50.4% of days in 2018, 51.5% in 2019, and 52.2% in 2020, then decreased to 38.8% in 2024 and 36.4% in 2025.</w:t>
      </w:r>
    </w:p>
    <w:p>
      <w:pPr>
        <w:spacing w:after="160"/>
        <w:jc w:val="both"/>
      </w:pPr>
      <w:r>
        <w:t>Extreme O3 events were strongly seasonal (Fig. 4). Of the 293 P90 event days, 148 occurred in autumn and 101 occurred in spring, compared with 38 in winter and only 6 in summer. Expressed as seasonal fractions, P90 events occurred on 20.3% of autumn days, 13.7% of spring days, 5.3% of winter days, and 0.8% of summer days. At the monthly scale, October had the most P90 event days (71), followed by November (47), April (38), March (37), September (30), and May (26). The P95 sensitivity definition preserved this seasonal pattern, with most events occurring in autumn and spring. The 60 ppb exceedance-day definition was also most frequent in autumn and spring, with 489 autumn exceedance days (67.2% of autumn days) and 427 spring exceedance days (58.0% of spring days), but it also identified 340 winter exceedance days (47.1% of winter days).</w:t>
      </w:r>
    </w:p>
    <w:p>
      <w:pPr>
        <w:pStyle w:val="Heading2"/>
        <w:spacing w:before="240" w:after="120"/>
      </w:pPr>
      <w:r>
        <w:t>3.4 Meteorological conditions and event odds</w:t>
      </w:r>
    </w:p>
    <w:p>
      <w:pPr>
        <w:spacing w:after="160"/>
        <w:jc w:val="both"/>
      </w:pPr>
      <w:r>
        <w:t>P90 extreme O3 event days had a distinct meteorological profile (Fig. 4; Table 3). In raw city-day comparisons, event days had lower median relative humidity than non-event days (71.50% versus 75.46%; p = 5.60e-30), slightly lower wind speed (1.64 versus 1.68 m s-1; p = 0.0056), and higher sunshine duration (8.5 versus 7.3 h; p = 3.76e-09). Because P90 events were concentrated in spring and autumn, month-adjusted anomalies were used to reduce seasonal confounding. After month adjustment, P90 event days still had substantially lower relative humidity, lower rainfall, and higher sunshine duration. The median relative-humidity anomaly was -2.68 percentage points on event days and 0.03 percentage points on non-event days, with an event minus non-event difference of -2.71 percentage points (p = 3.84e-22). The median rainfall anomaly was -1.55 mm day-1 on event days and -0.85 mm day-1 on non-event days, with a difference of -0.70 mm day-1 (p = 0.0013). The median sunshine anomaly was 1.99 h on event days and 0.81 h on non-event days, with a difference of 1.18 h (p = 8.10e-08). Month-adjusted temperature and wind-speed differences were not statistically significant for P90 events.</w:t>
      </w:r>
    </w:p>
    <w:p>
      <w:pPr>
        <w:spacing w:after="160"/>
        <w:jc w:val="both"/>
      </w:pPr>
      <w:r>
        <w:t>The fixed 60 ppb exceedance-day definition showed a broader but compatible meteorological pattern. After month adjustment, exceedance days had lower relative humidity than non-exceedance days, with a median anomaly of -1.40 versus 0.84 percentage points and a median difference of -2.23 percentage points (p = 1.09e-31). Exceedance days also had lower wind-speed anomalies (-0.10 versus -0.04 m s-1; difference = -0.063 m s-1; p = 3.06e-09) and higher sunshine anomalies (1.72 versus -0.19 h; difference = 1.90 h; p = 1.82e-22). The month-adjusted temperature difference was statistically significant because of the large sample size, but the median difference was small (-0.03 C), indicating limited practical separation by temperature alone. Rainfall anomalies did not differ significantly for the 60 ppb exceedance-day definition.</w:t>
      </w:r>
    </w:p>
    <w:p>
      <w:pPr>
        <w:spacing w:after="160"/>
        <w:jc w:val="both"/>
      </w:pPr>
      <w:r>
        <w:t>The unified logistic regression models supported the event-day meteorology results and added a multivariable wind-vector interpretation (Table S1). The logistic models used 2,920 city-days, including 1,324 exceedance days, because two days lacked sunshine-duration data. For P90 extreme O3 events, the month-adjusted logistic model showed lower event odds with higher relative humidity (OR per 1 SD = 0.50; 95% CI: 0.42-0.59; p = 4.05e-16) and higher wind speed (OR = 0.79; 95% CI: 0.68-0.92; p = 0.0033). Event odds increased with the daytime zonal wind-component anomaly (u, with positive values indicating westerly onshore flow; OR = 1.98; 95% CI: 1.60-2.45; p = 2.42e-10) and the daytime meridional wind-component anomaly (v, with positive values indicating southerly flow; OR = 1.37; 95% CI: 1.17-1.60; p = 6.44e-05). The rainfall term was also statistically significant but positive (OR = 1.25; 95% CI: 1.02-1.53; p = 0.032). Because event days had lower month-adjusted rainfall in the univariate comparison, this positive multivariable coefficient reflects a conditional association: once relative humidity and sunshine duration are held constant, residual rainfall variation no longer indexes the dry and sunny conditions that favor O3 accumulation, and this coefficient should not be interpreted as rainfall promoting O3. Temperature and sunshine duration were not significant in the month-adjusted multivariable P90 model. For 60 ppb exceedance days, higher relative humidity (OR = 0.60; 95% CI: 0.54-0.67; p = 1.28e-18) and higher wind speed (OR = 0.65; 95% CI: 0.59-0.71; p = 1.99e-18) were associated with lower exceedance odds, whereas the daytime zonal wind component (OR = 1.67; 95% CI: 1.47-1.88; p = 3.16e-16), the daytime meridional wind component (OR = 1.10; 95% CI: 1.00-1.20; p = 0.041), and the rainfall term (OR = 1.15; 95% CI: 1.02-1.30; p = 0.020) were associated with higher exceedance odds, with the positive rainfall term again interpreted as a conditional association rather than a direct promoting effect. The month-adjusted logistic models had modest overall discriminative ability (McFadden pseudo-R2 = 0.086 and in-sample ROC AUC = 0.72 for P90 events; pseudo-R2 = 0.096 and AUC = 0.68 for exceedance days; Table S1), consistent with their stated role as association models rather than forecasting tools. These event and logistic results indicate that high-O3 conditions in Kaohsiung were associated more consistently with low humidity, dry and sunny conditions, weaker ventilation, and specific daytime wind-vector patterns than with high temperature alone.</w:t>
      </w:r>
    </w:p>
    <w:p>
      <w:pPr>
        <w:pStyle w:val="Heading2"/>
        <w:spacing w:before="240" w:after="120"/>
      </w:pPr>
      <w:r>
        <w:t>3.5 Revised meteorological driver models</w:t>
      </w:r>
    </w:p>
    <w:p>
      <w:pPr>
        <w:spacing w:after="160"/>
        <w:jc w:val="both"/>
      </w:pPr>
      <w:r>
        <w:t>The revised meteorological driver models were fitted at the city-day level as the main analysis to reduce station-day pseudo-replication. The revised city-day random forest and GAM used 2,922 city-days, with 2018-2023 for training and 2024-2025 for testing. The revised city-day random forest achieved a test-set R2 of 0.595, RMSE of 9.61 ppb, and MAE of 7.57 ppb (Table 4). The revised city-day GAM achieved a test-set R2 of 0.569, RMSE of 9.92 ppb, and MAE of 7.85 ppb. Compared with the older city-day specification, the random-forest R2 changed modestly from 0.612 to 0.595, whereas the GAM R2 improved from 0.548 to 0.569 after replacing daily mean wind-direction terms with daytime wind-vector variables, removing the year index, and using cyclic seasonal terms.</w:t>
      </w:r>
    </w:p>
    <w:p>
      <w:pPr>
        <w:spacing w:after="160"/>
        <w:jc w:val="both"/>
      </w:pPr>
      <w:r>
        <w:t>The station-day revised models had lower held-out performance than the corresponding older station-day specification, especially after the year index was removed. The revised station-day random forest had a test-set R2 of 0.444, RMSE of 11.87 ppb, and MAE of 9.07 ppb, while the revised station-day GAM had a test-set R2 of 0.391, RMSE of 12.42 ppb, and MAE of 9.57 ppb. This difference supports the use of the city-day revised specification as the main driver analysis and the station-day results as sensitivity evidence.</w:t>
      </w:r>
    </w:p>
    <w:p>
      <w:pPr>
        <w:spacing w:after="160"/>
        <w:jc w:val="both"/>
      </w:pPr>
      <w:r>
        <w:t>Permutation importance from the revised city-day random forest identified daytime wind and seasonal-meteorological variables as the leading predictors of MDA8 O3 (Fig. 5). The most important predictor was the daytime zonal wind component (u; importance = 0.256), followed closely by daily maximum temperature (0.252), the cosine term for day of year (0.198), relative humidity (0.192), the sine term for day of year (0.090), and the daytime meridional wind component (v; 0.067). Wind speed and rainfall had lower importance values of 0.018 and 0.005, respectively. These rankings indicate that daytime wind-vector information, temperature, seasonal timing, and humidity were the dominant predictors in the revised city-day model.</w:t>
      </w:r>
    </w:p>
    <w:p>
      <w:pPr>
        <w:spacing w:after="160"/>
        <w:jc w:val="both"/>
      </w:pPr>
      <w:r>
        <w:t>The GAM partial effects were consistent with the random-forest importance rankings, and the revised cyclic day-of-year smooth removed the artificial discontinuity between the end and beginning of the calendar year that appeared in the older non-cyclic specification (Fig. S1).</w:t>
      </w:r>
    </w:p>
    <w:p>
      <w:pPr>
        <w:pStyle w:val="Heading2"/>
        <w:spacing w:before="240" w:after="120"/>
      </w:pPr>
      <w:r>
        <w:t>3.6 Station and station-type contrasts</w:t>
      </w:r>
    </w:p>
    <w:p>
      <w:pPr>
        <w:spacing w:after="160"/>
        <w:jc w:val="both"/>
      </w:pPr>
      <w:r>
        <w:t>City-maximum attribution showed that high-O3 days were spatially concentrated (Table S2). Across all days, Linyuan contributed the city-day maximum MDA8 O3 most frequently, with 1,106 city-maximum contributions, followed by Meinong (859), Zuoying (252), Daliao (206), and Qianjin (196). When two stations tied for the daily maximum, both stations were credited, so contribution counts can sum to slightly more than the corresponding number of city-days. For P90 extreme O3 events, Linyuan remained the dominant contributor, accounting for 170 of 293 event-day maxima. The next most frequent contributors were Zuoying (36), Meinong (23), Qianjin (22), and Daliao (16). For 60 ppb exceedance days, Linyuan contributed 617 city-maximum records, followed by Meinong (199), Zuoying (163), Daliao (111), and Qianjin (105). These results identify Linyuan as the clearest spatial signal for the upper tail of citywide MDA8 O3.</w:t>
      </w:r>
    </w:p>
    <w:p>
      <w:pPr>
        <w:spacing w:after="160"/>
        <w:jc w:val="both"/>
      </w:pPr>
      <w:r>
        <w:t>Station-type summaries showed additional spatial structure but should be interpreted with the unequal number of stations in each type. General stations, which included 8 of the 12 monitoring sites, had the highest mean MDA8 O3 (48.09 ppb) and the highest fraction of station-days above 60 ppb (28.4%). The single background station had a mean MDA8 O3 of 47.29 ppb and an exceedance fraction of 25.4%. The industrial and traffic categories had lower mean MDA8 O3 values of 44.22 and 43.66 ppb, respectively, with exceedance fractions of 21.1% and 19.2%. In contrast, mean NOx was higher at the industrial (19.82 ppb) and traffic stations (18.87 ppb) than at general stations (14.62 ppb), consistent with stronger local primary-emission influence at those sites.</w:t>
      </w:r>
    </w:p>
    <w:p>
      <w:pPr>
        <w:spacing w:after="160"/>
        <w:jc w:val="both"/>
      </w:pPr>
      <w:r>
        <w:t>Most P90 city-maximum contributions came from general stations. General stations contributed 280 of the 293 P90 event-day maxima (95.6%), while the background, traffic, and industrial categories contributed 8 (2.7%), 3 (1.0%), and 2 (0.7%) event-day maxima, respectively. This dominance partly reflects the larger number of general stations, but the station-level results show that the contribution was not evenly distributed across all general sites; Linyuan accounted for the largest share of event-day maxima.</w:t>
      </w:r>
    </w:p>
    <w:p>
      <w:pPr>
        <w:spacing w:after="160"/>
        <w:jc w:val="both"/>
      </w:pPr>
      <w:r>
        <w:t>Station-type trend summaries were consistent with the site-level meteorological-normalization results. The mean meteorologically normalized Sen slope was negative for every station type: -0.306 ppb year-1 for general stations, -0.243 ppb year-1 for the background station, -0.202 ppb year-1 for traffic stations, and -0.138 ppb year-1 for the industrial station. Significant normalized decreases were found at 7 of 8 general stations, 1 of 2 traffic stations, the single background station, and the single industrial station. Therefore, although high-O3 levels and city-maximum contributions were spatially concentrated, the weather-adjusted decreasing trend was broadly present across monitoring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