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60"/>
      </w:pPr>
      <w:r>
        <w:t>4. Discussion and conclusions</w:t>
      </w:r>
    </w:p>
    <w:p>
      <w:pPr>
        <w:pStyle w:val="Heading2"/>
        <w:spacing w:before="240" w:after="120"/>
      </w:pPr>
      <w:r>
        <w:t>4.1 Principal findings</w:t>
      </w:r>
    </w:p>
    <w:p>
      <w:pPr>
        <w:spacing w:after="160"/>
        <w:jc w:val="both"/>
      </w:pPr>
      <w:r>
        <w:t>This study provides a monitoring-based assessment of recent MDA8 O3 variability in Kaohsiung using eight years of routine observations from 12 governmental monitoring stations. The main finding is that the unadjusted citywide monthly MDA8 O3 series showed a decreasing but statistically non-significant trend, whereas the meteorologically normalized series showed a consistent and significant decline (Fig. 3). This contrast indicates that interannual meteorological variability partly obscured the underlying temporal signal in the observed series. The weather-adjusted decline was robust across different normalization settings, including fewer resampling iterations, within-month donor resampling, and a sensitivity model including sunshine duration.</w:t>
      </w:r>
    </w:p>
    <w:p>
      <w:pPr>
        <w:spacing w:after="160"/>
        <w:jc w:val="both"/>
      </w:pPr>
      <w:r>
        <w:t>The second major finding is that high-O3 risk remained strongly seasonal and spatially structured. Extreme O3 events were concentrated in autumn and spring, while summer had few upper-tail events despite high temperature. Event days were characterized by lower month-adjusted relative humidity, lower rainfall, and higher sunshine duration, while multivariable event models additionally indicated lower event odds under stronger ventilation and higher odds under specific daytime wind-vector anomalies. The 60 ppb exceedance-day definition identified a much larger set of policy-relevant days than the P90 event definition, but the annual exceedance fraction also decreased from the early study years to 2024-2025. Spatially, Linyuan was the most frequent contributor to the city-day maximum MDA8 O3, especially during P90 extreme events and 60 ppb exceedance days.</w:t>
      </w:r>
    </w:p>
    <w:p>
      <w:pPr>
        <w:spacing w:after="160"/>
        <w:jc w:val="both"/>
      </w:pPr>
      <w:r>
        <w:t>Together, these results refine the interpretation of recent O3 conditions in Kaohsiung. The monitoring record does not support a simple statement that observed citywide MDA8 O3 increased during 2018-2025. Instead, it suggests a weather-adjusted decline in MDA8 O3, alongside persistent seasonal and spatial conditions that still favor high-O3 episodes. This distinction is important for air-quality assessment because annual or monthly observed means alone may understate progress when meteorology is unfavorable, or overstate progress when meteorology suppresses O3 formation.</w:t>
      </w:r>
    </w:p>
    <w:p>
      <w:pPr>
        <w:pStyle w:val="Heading2"/>
        <w:spacing w:before="240" w:after="120"/>
      </w:pPr>
      <w:r>
        <w:t>4.2 Interpreting the meteorologically normalized decline</w:t>
      </w:r>
    </w:p>
    <w:p>
      <w:pPr>
        <w:spacing w:after="160"/>
        <w:jc w:val="both"/>
      </w:pPr>
      <w:r>
        <w:t>The difference between the observed and meteorologically normalized trends is consistent with the broader surface-O3 literature, which shows that O3 trends depend strongly on region, time period, metric, and meteorological variability. Global and regional assessments have reported mixed O3 trends across monitoring networks, including many non-significant trends where interannual weather variability remains large relative to the long-term signal (Chang et al., 2017; Fleming et al., 2018; K. Li et al., 2025; Lu et al., 2025). The present results add a local monitoring example from southern Taiwan: the observed monthly mean trend was not statistically significant, but the weather-adjusted trend was significantly negative across the full 2018-2025 period and in two sensitivity windows, with significant station-level declines at 10 of 12 sites (9 of 12 after Bonferroni correction).</w:t>
      </w:r>
    </w:p>
    <w:p>
      <w:pPr>
        <w:spacing w:after="160"/>
        <w:jc w:val="both"/>
      </w:pPr>
      <w:r>
        <w:t>Meteorological normalization is useful in this context because surface O3 is highly sensitive to temperature, humidity, rainfall, wind fields, radiation, seasonal timing, and circulation. Random-forest normalization has been used to separate weather-driven variability from longer-term air-quality signals and to detect intervention-related changes in air-quality time series (Grange et al., 2018; Grange and Carslaw, 2019). In this study, the normalized decline should be interpreted as a monitoring-period change in MDA8 O3 after reducing the influence of day-to-day and year-to-year meteorological variability. It does not by itself identify the causal contribution of emission controls, precursor chemistry, regional transport, or background O3.</w:t>
      </w:r>
    </w:p>
    <w:p>
      <w:pPr>
        <w:spacing w:after="160"/>
        <w:jc w:val="both"/>
      </w:pPr>
      <w:r>
        <w:t>This caution is especially important in Taiwan, where recent air-quality policy has targeted PM2.5 and O3 precursor emissions through stationary-source, mobile-source, fugitive-source, port, and fuel-related measures (Taiwan Ministry of Environment, 2023). The weather-adjusted decline observed here is consistent with the possibility that emission and management changes contributed to improved O3 conditions, but this study did not include a detailed emissions inventory, VOC speciation across all sites, or chemical transport modeling. Therefore, the normalized trend should be presented as evidence of a robust monitoring signal rather than as direct proof of a specific control-policy effect.</w:t>
      </w:r>
    </w:p>
    <w:p>
      <w:pPr>
        <w:pStyle w:val="Heading2"/>
        <w:spacing w:before="240" w:after="120"/>
      </w:pPr>
      <w:r>
        <w:t>4.3 Seasonality and event meteorology</w:t>
      </w:r>
    </w:p>
    <w:p>
      <w:pPr>
        <w:spacing w:after="160"/>
        <w:jc w:val="both"/>
      </w:pPr>
      <w:r>
        <w:t>The strong autumn and spring concentration of extreme O3 events agrees with the established meteorological setting of southern Taiwan. Although summer has high temperature and strong solar radiation, it also has frequent rainfall, cloudiness, convective mixing, typhoon-related disturbances, and monsoonal influences that can suppress sustained surface O3 accumulation. In contrast, autumn and spring can combine sufficient photochemical radiation with drier conditions, weaker removal, and transport or stagnation patterns favorable for O3 buildup. Previous studies in southwestern Taiwan have similarly emphasized the importance of autumn circulation, northeasterly flow, terrain blocking, lee-side sunny conditions, weak winds, and regional transport during O3 episodes (Lin et al., 2007).</w:t>
      </w:r>
    </w:p>
    <w:p>
      <w:pPr>
        <w:spacing w:after="160"/>
        <w:jc w:val="both"/>
      </w:pPr>
      <w:r>
        <w:t>The event-day meteorology in this study supports this interpretation. P90 event days had lower month-adjusted relative humidity, lower rainfall, and higher sunshine duration than non-event days, while month-adjusted temperature was not significantly different (Fig. 4). This means that high-O3 events in Kaohsiung should not be interpreted simply as the hottest days of the year. Rather, they appear to arise when seasonal timing, photochemical radiation, dry conditions, limited rainfall, and favorable circulation coincide. This result is consistent with earlier Kaohsiung studies showing that O3 episodes are associated with sunlight, low wind speed, pressure and circulation conditions, sea-land wind effects, and humidity-related processes (Chen et al., 2003; Kuo et al., 2015).</w:t>
      </w:r>
    </w:p>
    <w:p>
      <w:pPr>
        <w:spacing w:after="160"/>
        <w:jc w:val="both"/>
      </w:pPr>
      <w:r>
        <w:t>Recent Taiwan evidence also points to a coupled chemistry-circulation mechanism rather than a purely local surface-temperature effect. Field and modeling studies have shown that residual-layer O3, vertical mixing, topographic effects, subtropical cyclone influences, humidity, precipitation, solar radiation, and atmospheric dispersion can all contribute to episode development in southern Taiwan (Lin et al., 2004; Peng et al., 2008; Lo et al., 2024). The present study does not resolve vertical structure or synoptic categories directly, but the city-day event results are compatible with this mechanistic literature.</w:t>
      </w:r>
    </w:p>
    <w:p>
      <w:pPr>
        <w:pStyle w:val="Heading2"/>
        <w:spacing w:before="240" w:after="120"/>
      </w:pPr>
      <w:r>
        <w:t>4.4 Daytime wind-vector signal and meteorological driver models</w:t>
      </w:r>
    </w:p>
    <w:p>
      <w:pPr>
        <w:spacing w:after="160"/>
        <w:jc w:val="both"/>
      </w:pPr>
      <w:r>
        <w:t>The revised city-day GAM and random-forest models strengthen the event interpretation by showing that MDA8 O3 variability was not controlled by temperature alone. In the revised city-day random forest, the daytime zonal wind component was the most important predictor, followed closely by maximum temperature, seasonal timing, relative humidity, and the daytime meridional wind component (Fig. 5). The logistic models also showed higher P90 event odds under positive daytime wind-component anomalies, while higher humidity and stronger wind speed reduced event odds. The multivariable models additionally produced a positive conditional coefficient for rainfall, even though event days had lower month-adjusted rainfall in the univariate comparisons. This sign reversal is best interpreted as a suppression effect among correlated humidity, sunshine, and rainfall terms: once relative humidity and sunshine duration are held constant, residual rainfall variation no longer indexes the dry and sunny conditions that favor O3 accumulation. Such conditional coefficients are a known feature of collinear meteorological predictors and should not be read as rainfall promoting O3. Overall, these results indicate that daytime wind transport contains meaningful information that can be lost when wind direction is summarized only as a daily mean.</w:t>
      </w:r>
    </w:p>
    <w:p>
      <w:pPr>
        <w:spacing w:after="160"/>
        <w:jc w:val="both"/>
      </w:pPr>
      <w:r>
        <w:t>The wind-vector results are plausible for a coastal urban-industrial city. Kaohsiung is affected by sea-land breeze circulation, coastal transport, urban emissions, port-related activity, industrial areas, and terrain-modified regional flow. Positive daytime zonal flow in the model can be interpreted as an onshore-flow signal, but it should not be reduced to a single source pathway without trajectory analysis, reanalysis fields, or chemical transport modeling. Instead, the most defensible interpretation is that daytime flow direction and ventilation jointly modulate whether O3 and precursors are diluted, transported, or accumulated over the monitoring network.</w:t>
      </w:r>
    </w:p>
    <w:p>
      <w:pPr>
        <w:spacing w:after="160"/>
        <w:jc w:val="both"/>
      </w:pPr>
      <w:r>
        <w:t>The revised GAM results also support the need to treat seasonality carefully. The cyclic day-of-year smooth avoided an artificial discontinuity between December 31 and January 1, and the city-day GAM improved relative to the older specification. This is important because O3 has strong seasonal structure, and non-cyclic time representations can introduce artifacts near the calendar boundary. The random-forest and GAM results should therefore be interpreted together: random forests provided stronger predictive performance and variable-importance information, while GAMs provided interpretable nonlinear seasonal-meteorological responses.</w:t>
      </w:r>
    </w:p>
    <w:p>
      <w:pPr>
        <w:pStyle w:val="Heading2"/>
        <w:spacing w:before="240" w:after="120"/>
      </w:pPr>
      <w:r>
        <w:t>4.5 Spatial and station-type implications</w:t>
      </w:r>
    </w:p>
    <w:p>
      <w:pPr>
        <w:spacing w:after="160"/>
        <w:jc w:val="both"/>
      </w:pPr>
      <w:r>
        <w:t>The spatial results show that Kaohsiung's high-O3 burden was not evenly distributed across the monitoring network. Linyuan had the highest overall station-day mean MDA8 O3, the highest station-day fraction above 60 ppb, and the largest number of city-maximum contributions during P90 events and 60 ppb exceedance days. This finding identifies Linyuan as a key monitoring location for upper-tail O3 behavior. However, the result should be interpreted as a monitoring signal rather than as direct source attribution. Linyuan's high O3 may reflect local photochemistry, coastal flow, transport from upwind urban or industrial areas, lower titration at certain times, or regional accumulation.</w:t>
      </w:r>
    </w:p>
    <w:p>
      <w:pPr>
        <w:spacing w:after="160"/>
        <w:jc w:val="both"/>
      </w:pPr>
      <w:r>
        <w:t>Station-type summaries also require caution. General stations contributed most city-day maximum values during P90 events, but general stations also made up 8 of the 12 sites. The dominance of general stations therefore partly reflects network composition. At the same time, station-level results showed that contributions were not evenly distributed among all general stations, with Linyuan accounting for the largest share. This suggests that official station type alone is insufficient to describe O3 risk; station location, local surroundings, coastal exposure, upwind source influence, and transport setting also matter.</w:t>
      </w:r>
    </w:p>
    <w:p>
      <w:pPr>
        <w:spacing w:after="160"/>
        <w:jc w:val="both"/>
      </w:pPr>
      <w:r>
        <w:t>The contrast between O3 and NOx by station type is also informative. Industrial and traffic stations had higher mean NOx but lower mean MDA8 O3 than general stations. This pattern is consistent with the complexity of urban O3 chemistry, including the possibility of local NO titration near primary emission sources and downwind photochemical production after precursor transport and aging. Previous studies in southern Taiwan have emphasized VOC and NMHC source profiles, mobile and industrial emissions, petroleum-related sources, aged air masses, and regional contributions to O3 formation potential (Tsai et al., 2004; Nguyen et al., 2026). The present monitoring data support the need to interpret station-level O3 together with precursor chemistry, transport, and station siting.</w:t>
      </w:r>
    </w:p>
    <w:p>
      <w:pPr>
        <w:pStyle w:val="Heading2"/>
        <w:spacing w:before="240" w:after="120"/>
      </w:pPr>
      <w:r>
        <w:t>4.6 Monitoring and management implications</w:t>
      </w:r>
    </w:p>
    <w:p>
      <w:pPr>
        <w:spacing w:after="160"/>
        <w:jc w:val="both"/>
      </w:pPr>
      <w:r>
        <w:t>The findings have several implications for O3 monitoring and management in Kaohsiung. First, observed trends and meteorologically normalized trends should be reported together. The observed series represents actual exposure conditions, while the normalized series helps identify whether the underlying monitoring signal changes after reducing meteorological variability. This paired reporting is more informative than relying on either metric alone.</w:t>
      </w:r>
    </w:p>
    <w:p>
      <w:pPr>
        <w:spacing w:after="160"/>
        <w:jc w:val="both"/>
      </w:pPr>
      <w:r>
        <w:t>Second, spring and autumn should remain priority seasons for high-O3 surveillance. P90 events were rare in summer but common in autumn and spring, and the 60 ppb exceedance-day fraction was highest in autumn. Early-warning interpretation should therefore emphasize dry, sunny periods with low relative humidity, limited rainfall, weaker ventilation, and wind patterns favorable for accumulation or transport. These indicators are not a substitute for chemical forecasting, but they can help interpret when routine monitoring conditions are more likely to approach the upper tail of the O3 distribution.</w:t>
      </w:r>
    </w:p>
    <w:p>
      <w:pPr>
        <w:spacing w:after="160"/>
        <w:jc w:val="both"/>
      </w:pPr>
      <w:r>
        <w:t>Third, upper-tail and threshold-based metrics should be retained alongside annual or monthly averages. The P90 event definition captures the most extreme monitoring days, whereas the 60 ppb threshold captures a broader regulatory-relevant burden. In this study, both metrics declined from the early study years, but 60 ppb exceedance days still occurred on more than one-third of days in 2025. This means that even with a weather-adjusted decline, O3 remains a relevant management issue.</w:t>
      </w:r>
    </w:p>
    <w:p>
      <w:pPr>
        <w:spacing w:after="160"/>
        <w:jc w:val="both"/>
      </w:pPr>
      <w:r>
        <w:t>Fourth, spatial monitoring should remain multi-site. Citywide averages are useful for summary assessment, but they can obscure persistent spatial signals such as the high contribution of Linyuan to city-day maxima. A network perspective is particularly important in a coastal urban-industrial environment where local emissions, titration, transport, and sea-breeze circulation can create different O3 behavior across stations.</w:t>
      </w:r>
    </w:p>
    <w:p>
      <w:pPr>
        <w:pStyle w:val="Heading2"/>
        <w:spacing w:before="240" w:after="120"/>
      </w:pPr>
      <w:r>
        <w:t>4.7 Limitations</w:t>
      </w:r>
    </w:p>
    <w:p>
      <w:pPr>
        <w:spacing w:after="160"/>
        <w:jc w:val="both"/>
      </w:pPr>
      <w:r>
        <w:t>Several limitations should be considered. First, the study period was eight years. This is appropriate for recent monitoring assessment but shorter than many long-term trend and climate-attribution studies. The sensitivity windows partly address start- and end-year dependence, but the results should still be interpreted as 2018-2025 monitoring-period trends rather than long-term climatological trends.</w:t>
      </w:r>
    </w:p>
    <w:p>
      <w:pPr>
        <w:spacing w:after="160"/>
        <w:jc w:val="both"/>
      </w:pPr>
      <w:r>
        <w:t>Second, meteorological normalization reduces the influence of weather variability but does not prove causality. The normalized decline may reflect emission changes, chemical-regime changes, background O3, regional transport, or other unmeasured factors. Because this study did not include VOC speciation across all sites, detailed emissions inventories, boundary-layer height, reanalysis fields, back trajectories, or chemical transport modeling, causal attribution remains outside the scope of the analysis.</w:t>
      </w:r>
    </w:p>
    <w:p>
      <w:pPr>
        <w:spacing w:after="160"/>
        <w:jc w:val="both"/>
      </w:pPr>
      <w:r>
        <w:t>Third, the meteorological driver models are association models. Meteorological predictors are correlated, and random-forest permutation importance can redistribute importance among related variables such as temperature, seasonal timing, humidity, rainfall, and sunshine duration. Recent explainable machine-learning studies have emphasized that meteorological contributions to O3 can be nonlinear, interacting, and sensitive to correlated predictors (Weng et al., 2022; T. Li et al., 2023; Ye et al., 2026). Therefore, variable importance should be interpreted as model-based evidence of predictive relevance, not as an independent causal effect.</w:t>
      </w:r>
    </w:p>
    <w:p>
      <w:pPr>
        <w:spacing w:after="160"/>
        <w:jc w:val="both"/>
      </w:pPr>
      <w:r>
        <w:t>Fourth, some variables were imperfect proxies for the processes of interest. Sunshine duration was measured as a city-level series rather than at each monitoring station. Wind observations at monitoring stations may not fully represent boundary-layer flow, sea-breeze depth, or synoptic-scale transport. The official station-type categories also do not fully describe local source surroundings or upwind influence. These limitations support future work using solar radiation, boundary-layer height, synoptic classification, trajectory analysis, VOC measurements, and emissions data.</w:t>
      </w:r>
    </w:p>
    <w:p>
      <w:pPr>
        <w:spacing w:after="160"/>
        <w:jc w:val="both"/>
      </w:pPr>
      <w:r>
        <w:t>Finally, the logistic event models had modest discriminative ability when fitted with month-adjusted meteorological anomalies. This is expected because the models were designed for association and interpretation, not operational forecasting. Their value is that they confirmed the direction of key meteorological associations, especially lower humidity, weaker ventilation, and daytime wind-vector effects.</w:t>
      </w:r>
    </w:p>
    <w:p>
      <w:pPr>
        <w:pStyle w:val="Heading1"/>
        <w:spacing w:before="240" w:after="120"/>
      </w:pPr>
      <w:r>
        <w:t>5. Conclusions</w:t>
      </w:r>
    </w:p>
    <w:p>
      <w:pPr>
        <w:spacing w:after="160"/>
        <w:jc w:val="both"/>
      </w:pPr>
      <w:r>
        <w:t>This study assessed recent MDA8 O3 variability in Kaohsiung from 2018 to 2025 using routine monitoring data from 12 air-quality stations. The observed citywide monthly MDA8 O3 trend was negative but not statistically significant. After meteorological normalization, however, MDA8 O3 showed a robust and significant decline, and this decrease was consistent across multiple sensitivity analyses and most stations. This indicates that weather variability masked part of the underlying temporal signal in the observed series.</w:t>
      </w:r>
    </w:p>
    <w:p>
      <w:pPr>
        <w:spacing w:after="160"/>
        <w:jc w:val="both"/>
      </w:pPr>
      <w:r>
        <w:t>High-O3 risk nevertheless remained strongly seasonal and spatially structured. Extreme O3 events and 60 ppb exceedance days were most common in autumn and spring and were associated with low relative humidity, limited rainfall, and high sunshine duration, with multivariable models further indicating weaker ventilation and specific daytime wind-vector patterns. Linyuan was the most frequent contributor to city-day maximum MDA8 O3, especially during upper-tail and exceedance days. The revised city-day GAM and random-forest models further showed that daytime wind, temperature, seasonal timing, and relative humidity were key predictors of daily MDA8 O3 variability.</w:t>
      </w:r>
    </w:p>
    <w:p>
      <w:pPr>
        <w:spacing w:after="160"/>
        <w:jc w:val="both"/>
      </w:pPr>
      <w:r>
        <w:t>Overall, Kaohsiung's recent O3 record is best interpreted as showing weather-adjusted improvement, but not elimination of seasonal high-O3 risk. Monitoring and management should therefore combine observed and meteorologically normalized trends, retain upper-tail and threshold-based metrics, prioritize spring-autumn event conditions, and maintain a multi-site network perspective in this coastal urban-industrial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