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BE7F5" w:sz="4"/>
              <w:left w:val="single" w:color="1F4E79" w:sz="36"/>
              <w:bottom w:val="single" w:color="DBE7F5" w:sz="4"/>
              <w:right w:val="single" w:color="DBE7F5" w:sz="4"/>
            </w:tcBorders>
            <w:shd w:fill="EEF3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LÖSUNGEN · LEHREREXEMPLAR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36"/>
                <w:szCs w:val="36"/>
              </w:rPr>
              <w:t xml:space="preserve">W1·2 – Vererbung: Lösungen zu den Papier-Aufgaben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Zum Arbeitsblatt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AQ_W1_AB2_Vererbung.docx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 · Level 1.4: siehe </w:t>
            </w:r>
            <w:r>
              <w:rPr>
                <w:rFonts w:ascii="Consolas" w:cs="Consolas" w:eastAsia="Consolas" w:hAnsi="Consolas"/>
                <w:color w:val="1A1A1A"/>
                <w:sz w:val="18"/>
                <w:szCs w:val="18"/>
                <w:shd w:fill="EDEDED" w:color="auto" w:val="clear"/>
              </w:rPr>
              <w:t xml:space="preserve">AQ_W1_L1_Heldenschmiede_LSG.txt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1 – Denkanstoß</w:t>
      </w:r>
    </w:p>
    <w:p>
      <w:pPr>
        <w:spacing w:after="100" w:line="264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Über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super.beschreibung()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(liefert "Schwert (50 Gold)") oder über die geerbten Getter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getName()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getWert()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Direkter Zugriff auf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name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ist ein Übersetzungsfehler.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2 – Der Stammbaum der Gegenstände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Attribute: heilwert (eigen); name und wert (geerbt – vorhanden, aber privat in Gegenstand, also nur über Getter erreichbar). Methoden: getHeilwert() und beschreibung() (eigen, beschreibung überschrieben), getName() und getWert() (geerbt). Konstruktor Trank(…) – Konstruktoren werden nicht vererbt.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Überschrieben: beschreibung(). Nur geerbt: getName(), getWert().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Linie Held – Gegenstand: Attribut inventar (Reihung von Gegenstand) – der Held besitzt bis zu fünf Gegenstände. Linie Held – Waffe: Attribut waffe – die ausgerüstete Waffe (höchstens eine, sonst null).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3662"/>
        <w:gridCol w:w="1157"/>
        <w:gridCol w:w="4819"/>
      </w:tblGrid>
      <w:tr>
        <w:trPr>
          <w:cantSplit/>
          <w:tblHeader/>
        </w:trPr>
        <w:tc>
          <w:tcPr>
            <w:tcW w:type="dxa" w:w="3662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Anweisung</w:t>
            </w:r>
          </w:p>
        </w:tc>
        <w:tc>
          <w:tcPr>
            <w:tcW w:type="dxa" w:w="1157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übersetzt?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Gegenstand g1 = new Trank(…)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Ein Trank ist ein Gegenstand.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Trank t = new Gegenstand(…)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Nicht jeder Gegenstand ist ein Trank.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g2 = new Schluessel(…); g2.getTuer()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Erste Zeile ja; getTuer() gibt es im Typ der Variable (Gegenstand) nicht.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Gegenstand g3 = w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Waffe → Gegenstand ist immer erlaubt.</w:t>
            </w:r>
          </w:p>
        </w:tc>
      </w:tr>
      <w:tr>
        <w:trPr>
          <w:cantSplit/>
        </w:trPr>
        <w:tc>
          <w:tcPr>
            <w:tcW w:type="dxa" w:w="366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held.ausruesten(new Trank(…))</w:t>
            </w:r>
          </w:p>
        </w:tc>
        <w:tc>
          <w:tcPr>
            <w:tcW w:type="dxa" w:w="1157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nein</w:t>
            </w:r>
          </w:p>
        </w:tc>
        <w:tc>
          <w:tcPr>
            <w:tcW w:type="dxa" w:w="4819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ausruesten erwartet eine Waffe; ein Trank ist keine Waffe.</w:t>
            </w:r>
          </w:p>
        </w:tc>
      </w:tr>
    </w:tbl>
    <w:p>
      <w:pPr>
        <w:spacing w:after="0" w:before="0" w:line="160" w:lineRule="exact"/>
      </w:pP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3 – Was zeigt das Inventar?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100 / 19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Rostiger Schluessel (2 Gold)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Waffe: Axt (30 Gold), Schaden 9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Trank: Heiltrank (20 Gold), heilt 30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Fackel (5 Gold)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leben: 100 − 45 = 55, der Trank heilt 80 → 135, begrenzt auf maxLeben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100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angriffswert: Stärke 10 + Schaden der Axt 9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19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Reihenfolge im Inventar = Reihenfolge des Aufnehmens; der Schlüssel nutzt die geerbte beschreibung().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Dynamisches Binden: Der Typ der Reihung (Gegenstand) legt nur fest, dass beschreibung() aufgerufen werden darf. Welche Version läuft, entscheidet das Objekt: inventar[1] verweist auf ein Waffe-Objekt, also läuft die überschriebene Methode aus Waffe.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gesamtWert() = 2 + 30 + 20 + 5 =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57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; wertvollster Gegenstand: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Axt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Das Elixier wird nur getrunken (trinken), nicht mit aufnehmen ins Inventar gelegt.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4 – Bug-Hunt in der Rüstkammer</w:t>
      </w:r>
    </w:p>
    <w:tbl>
      <w:tblPr>
        <w:tblW w:type="dxa" w:w="9638"/>
        <w:tblBorders>
          <w:top w:val="single" w:color="9DB7D5" w:sz="4"/>
          <w:left w:val="single" w:color="9DB7D5" w:sz="4"/>
          <w:bottom w:val="single" w:color="9DB7D5" w:sz="4"/>
          <w:right w:val="single" w:color="9DB7D5" w:sz="4"/>
          <w:insideH w:val="single" w:color="9DB7D5" w:sz="4"/>
          <w:insideV w:val="single" w:color="9DB7D5" w:sz="4"/>
        </w:tblBorders>
        <w:tblLayout w:type="fixed"/>
      </w:tblPr>
      <w:tblGrid>
        <w:gridCol w:w="771"/>
        <w:gridCol w:w="4241"/>
        <w:gridCol w:w="1735"/>
        <w:gridCol w:w="2891"/>
      </w:tblGrid>
      <w:tr>
        <w:trPr>
          <w:cantSplit/>
          <w:tblHeader/>
        </w:trPr>
        <w:tc>
          <w:tcPr>
            <w:tcW w:type="dxa" w:w="77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Zeile</w:t>
            </w:r>
          </w:p>
        </w:tc>
        <w:tc>
          <w:tcPr>
            <w:tcW w:type="dxa" w:w="424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</w:t>
            </w:r>
          </w:p>
        </w:tc>
        <w:tc>
          <w:tcPr>
            <w:tcW w:type="dxa" w:w="1735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4/5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Kein super(name, wert). Java ruft dann automatisch super() auf – Gegenstand hat aber keinen parameterlosen Konstruktor.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Übersetzungsfehler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Als erste Anweisung: super(name, wert);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name und wert sind in Gegenstand privat – kein direkter Zugriff aus der Unterklasse.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Übersetzungsfehler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getName() und getWert() verwenden (oder super.beschreibung()).</w:t>
            </w:r>
          </w:p>
        </w:tc>
      </w:tr>
      <w:tr>
        <w:trPr>
          <w:cantSplit/>
        </w:trPr>
        <w:tc>
          <w:tcPr>
            <w:tcW w:type="dxa" w:w="77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W w:type="dxa" w:w="424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== vergleicht bei Zeichenketten Referenzen, nicht den Inhalt.</w:t>
            </w:r>
          </w:p>
        </w:tc>
        <w:tc>
          <w:tcPr>
            <w:tcW w:type="dxa" w:w="1735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Verhalten (kann false liefern)</w:t>
            </w:r>
          </w:p>
        </w:tc>
        <w:tc>
          <w:tcPr>
            <w:tcW w:type="dxa" w:w="28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return getName().equals("Schild");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Die Online-IDE vergleicht Zeichenketten mit == ausnahmsweise inhaltlich, deshalb sind die Tests grün. In echtem Java und im Abitur vergleicht == Referenzen; verlangt ist equals.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Aufgabe 5 – Klassendiagramm erweitern</w:t>
      </w:r>
    </w:p>
    <w:p>
      <w:pPr>
        <w:spacing w:after="60" w:before="60"/>
        <w:jc w:val="center"/>
      </w:pPr>
      <w:r>
        <w:drawing>
          <wp:inline distT="0" distB="0" distL="0" distR="0">
            <wp:extent cx="5581650" cy="4743450"/>
            <wp:effectExtent t="0" r="0" b="0" l="0"/>
            <wp:docPr id="1" name="w2_l_abi.png" descr="w2_l_abi.png" title="w2_l_ab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a) Kernpunkte (5 BE):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Klassenkarte Haendler mit − name: Zeichenkette, − lager: Reihung von Gegenstand, − anzahl: Ganzzahl, + c Haendler(name: Zeichenkette) (2) · Assoziation Haendler – Gegenstand als einfache Linie (1) · MagischeWaffe nur mit neuen bzw. überschriebenen Elementen (element, bonus, Konstruktor, getSchaden) (1) · Vererbungspfeil mit hohler Spitze zu Waffe (1).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public MagischeWaffe(String name, int wert, int schaden, String element, int bonus)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super(name, wert, schaden);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this.element = element;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this.bonus = bonus;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MagischeWaffe überschreibt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getSchaden()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mit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return super.getSchaden() + bonus;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Held.angriffswert() ruft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waffe.getSchaden()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auf. Das Attribut waffe hat den Typ Waffe, das Objekt ist aber eine MagischeWaffe – durch dynamisches Binden läuft deren Version (3 BE). Hinweis: Waffe.beschreibung() nutzt das Attribut schaden direkt und zeigt deshalb weiter den Grundschaden.</w:t>
      </w:r>
    </w:p>
    <w:p>
      <w:pPr>
        <w:keepNext/>
        <w:spacing w:after="80" w:before="1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Für Schnelle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0D0D0" w:sz="4"/>
              <w:left w:val="single" w:color="9DB7D5" w:sz="18"/>
              <w:bottom w:val="single" w:color="D0D0D0" w:sz="4"/>
              <w:right w:val="single" w:color="D0D0D0" w:sz="4"/>
            </w:tcBorders>
            <w:shd w:fill="F0F0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class BossTest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@Test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void halberSchaden()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Boss b = new Boss("Morgul", 200, 20, "Schattenfuerst");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b.nimmSchaden(30);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assertEquals(185, b.getLeben(), "Ein Boss nimmt nur halben Schaden");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@Test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void ganzzahligHalbiert()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Boss b = new Boss("Morgul", 200, 20, "Schattenfuerst");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b.nimmSchaden(31);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assertEquals(185, b.getLeben(), "31 / 2 = 15 (ganzzahlige Division)");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@Test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public void nieUnterNull() {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Boss b = new Boss("Wicht", 10, 1, "Kleiner Boss");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b.nimmSchaden(100);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assertEquals(0, b.getLeben(), "Auch ein Boss hat nie weniger als 0 Leben");</w:t>
            </w:r>
          </w:p>
          <w:p>
            <w:pPr>
              <w:keepNext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keepNext w:val="false"/>
              <w:keepLines/>
              <w:spacing w:after="0" w:line="240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 w:line="160" w:lineRule="exact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Stilles Überschreiben: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A1A1A"/>
          <w:sz w:val="20"/>
          <w:szCs w:val="20"/>
          <w:shd w:fill="EDEDED" w:color="auto" w:val="clear"/>
        </w:rPr>
        <w:t xml:space="preserve">erweiterung_schluesselBeschreibungGeerbt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wird rot – der Test erwartet die geerbte Beschreibung.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Denkanstoß: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Nein – ein Monster ist kein Held (keine „ist ein“-Beziehung), es würde z. B. Inventar und aufnehmen erben. Sauber wäre eine gemeinsame Oberklasse, z. B. Figur.</w:t>
      </w:r>
    </w:p>
    <w:sectPr>
      <w:headerReference w:type="default" r:id="rId7"/>
      <w:footerReference w:type="default" r:id="rId8"/>
      <w:pgSz w:w="11906" w:h="16838" w:orient="portrait"/>
      <w:pgMar w:top="1250" w:right="1134" w:bottom="1000" w:left="1134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</w:rPr>
      <w:t xml:space="preserve">AQ W1 · AB 2 · Lösungen · Seite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von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638"/>
      </w:tabs>
      <w:spacing w:after="0"/>
    </w:pPr>
    <w:r>
      <w:rPr>
        <w:rFonts w:ascii="Calibri" w:cs="Calibri" w:eastAsia="Calibri" w:hAnsi="Calibri"/>
        <w:b/>
        <w:bCs/>
        <w:color w:val="1F4E79"/>
        <w:sz w:val="17"/>
        <w:szCs w:val="17"/>
      </w:rPr>
      <w:t xml:space="preserve">Informatik LK · Algo Quest · Welt 1 – Heldenschmiede</w:t>
    </w:r>
    <w:r>
      <w:rPr>
        <w:rFonts w:ascii="Calibri" w:cs="Calibri" w:eastAsia="Calibri" w:hAnsi="Calibri"/>
        <w:color w:val="666666"/>
        <w:sz w:val="17"/>
        <w:szCs w:val="17"/>
      </w:rPr>
      <w:t xml:space="preserve">	Lösungen – Lehrerexemplar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425c708a3d29e58208eabee0a6ea0eaf3521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W1·2 – Lösungen</dc:title>
  <dc:creator>Algo Quest</dc:creator>
  <dc:description>W1·2 – Lösungen</dc:description>
  <cp:lastModifiedBy>Un-named</cp:lastModifiedBy>
  <cp:revision>1</cp:revision>
  <dcterms:created xsi:type="dcterms:W3CDTF">2026-10-06T13:25:29.789Z</dcterms:created>
  <dcterms:modified xsi:type="dcterms:W3CDTF">2026-10-06T13:25:29.790Z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