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31"/>
        <w:gridCol w:w="2835"/>
      </w:tblGrid>
      <w:tr>
        <w:tc>
          <w:tcPr>
            <w:tcW w:type="dxa" w:w="70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26A0F"/>
                <w:sz w:val="18"/>
                <w:szCs w:val="18"/>
              </w:rPr>
              <w:t xml:space="preserve">Merkblatt</w:t>
            </w: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   M03  ·  Welt A  ·  Niveau: Zusatz (über das KC hinaus)</w:t>
            </w:r>
          </w:p>
          <w:p>
            <w:pPr>
              <w:spacing w:after="40" w:before="20"/>
            </w:pPr>
            <w:r>
              <w:rPr>
                <w:rFonts w:ascii="Cambria" w:cs="Cambria" w:eastAsia="Cambria" w:hAnsi="Cambria"/>
                <w:b/>
                <w:bCs/>
                <w:color w:val="0E6455"/>
                <w:sz w:val="40"/>
                <w:szCs w:val="40"/>
              </w:rPr>
              <w:t xml:space="preserve">Minimierung &amp; Zustandsanzahl begründen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B6770"/>
                <w:sz w:val="22"/>
                <w:szCs w:val="22"/>
              </w:rPr>
              <w:t xml:space="preserve">Merkblatt M03 · Level 5 · Unterscheidbarkeit, Markierungsverfahren, Mindestzahl</w:t>
            </w:r>
          </w:p>
        </w:tc>
        <w:tc>
          <w:tcPr>
            <w:tcW w:type="dxa" w:w="28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  <w:vAlign w:val="bottom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Informatik · Zusatz</w:t>
            </w:r>
          </w:p>
        </w:tc>
      </w:tr>
    </w:tbl>
    <w:p>
      <w:pPr>
        <w:pBdr>
          <w:bottom w:val="single" w:color="0E6455" w:sz="12" w:space="1"/>
        </w:pBdr>
        <w:spacing w:after="200" w:before="60"/>
      </w:pP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1  Unterscheidbar oder äquivalent?</w:t>
      </w:r>
    </w:p>
    <w:tbl>
      <w:tblPr>
        <w:tblW w:type="dxa" w:w="9865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2381"/>
        <w:gridCol w:w="7484"/>
      </w:tblGrid>
      <w:tr>
        <w:trPr>
          <w:cantSplit/>
          <w:tblHeader/>
        </w:trPr>
        <w:tc>
          <w:tcPr>
            <w:tcW w:type="dxa" w:w="238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Begriff</w:t>
            </w:r>
          </w:p>
        </w:tc>
        <w:tc>
          <w:tcPr>
            <w:tcW w:type="dxa" w:w="748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Bedeutung</w:t>
            </w:r>
          </w:p>
        </w:tc>
      </w:tr>
      <w:tr>
        <w:trPr>
          <w:cantSplit/>
          <w:tblHeader w:val="false"/>
        </w:trPr>
        <w:tc>
          <w:tcPr>
            <w:tcW w:type="dxa" w:w="238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unterscheidbar</w:t>
            </w:r>
          </w:p>
        </w:tc>
        <w:tc>
          <w:tcPr>
            <w:tcW w:type="dxa" w:w="748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Es gibt ein Wort w, das von p aus in einen Endzustand führt, von q aus aber nicht (oder umgekehrt).</w:t>
            </w:r>
          </w:p>
        </w:tc>
      </w:tr>
      <w:tr>
        <w:trPr>
          <w:cantSplit/>
          <w:tblHeader w:val="false"/>
        </w:trPr>
        <w:tc>
          <w:tcPr>
            <w:tcW w:type="dxa" w:w="238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unterscheidendes Wort</w:t>
            </w:r>
          </w:p>
        </w:tc>
        <w:tc>
          <w:tcPr>
            <w:tcW w:type="dxa" w:w="748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ein solches Wort w; für End- und Nicht-Endzustand genügt ε</w:t>
            </w:r>
          </w:p>
        </w:tc>
      </w:tr>
      <w:tr>
        <w:trPr>
          <w:cantSplit/>
          <w:tblHeader w:val="false"/>
        </w:trPr>
        <w:tc>
          <w:tcPr>
            <w:tcW w:type="dxa" w:w="238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äquivalent</w:t>
            </w:r>
          </w:p>
        </w:tc>
        <w:tc>
          <w:tcPr>
            <w:tcW w:type="dxa" w:w="748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kein Wort unterscheidet p und q: Der Automat verhält sich ab p und ab q immer gleich ⇒ zusammenfassen</w:t>
            </w:r>
          </w:p>
        </w:tc>
      </w:tr>
      <w:tr>
        <w:trPr>
          <w:cantSplit/>
          <w:tblHeader w:val="false"/>
        </w:trPr>
        <w:tc>
          <w:tcPr>
            <w:tcW w:type="dxa" w:w="238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minimaler DEA</w:t>
            </w:r>
          </w:p>
        </w:tc>
        <w:tc>
          <w:tcPr>
            <w:tcW w:type="dxa" w:w="748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kein Automat mit weniger Zuständen akzeptiert dieselbe Sprache; er enthält keine zwei äquivalenten Zustände</w:t>
            </w:r>
          </w:p>
        </w:tc>
      </w:tr>
    </w:tbl>
    <w:p>
      <w:pPr>
        <w:spacing w:after="140" w:before="0"/>
      </w:pP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0"/>
          <w:szCs w:val="20"/>
        </w:rPr>
        <w:t xml:space="preserve">Achtung: Äquivalente Zustände müssen </w:t>
      </w: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nicht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in dieselben Zustände führen – entscheidend ist nur, ob jedes Wort von beiden aus gleich behandelt wird (akzeptiert/abgelehnt).</w:t>
      </w: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2  Markierungsverfahren (Dreieckstabelle)</w:t>
      </w: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577"/>
        <w:gridCol w:w="3289"/>
      </w:tblGrid>
      <w:tr>
        <w:trPr>
          <w:cantSplit/>
        </w:trPr>
        <w:tc>
          <w:tcPr>
            <w:tcW w:type="dxa" w:w="65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Vorbereiten: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Automat vollständig machen (ggf. Fehlerzustand ergänzen). Dreieckstabelle mit allen Zustandspaaren anlegen.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Runde 0: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Alle Paare aus einem End- und einem Nicht-Endzustand markieren (X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  <w:vertAlign w:val="subscript"/>
              </w:rPr>
              <w:t xml:space="preserve">0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Runde 1, 2, …: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Für jedes freie Paar (p, q) und jedes Zeichen a die Folgepaare bestimmen. Ist (δ(p, a), δ(q, a)) bereits markiert, wird (p, q) markiert (X mit Rundennummer).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Wiederholen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, bis in einer Runde nichts Neues markiert wird.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Zusammenfassen: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Alle freien Paare sind äquivalent. Zustände verschmelzen, Pfeile umlenken.</w:t>
            </w:r>
          </w:p>
        </w:tc>
        <w:tc>
          <w:tcPr>
            <w:tcW w:type="dxa" w:w="328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keepNext/>
              <w:spacing w:after="20" w:before="60"/>
              <w:jc w:val="center"/>
            </w:pPr>
            <w:r>
              <w:drawing>
                <wp:inline distT="0" distB="0" distL="0" distR="0">
                  <wp:extent cx="1876425" cy="1562100"/>
                  <wp:effectExtent t="0" r="0" b="0" l="0"/>
                  <wp:docPr id="1" name="smiley_runde3.png" descr="Smiley-Erkenner :-) / :) (Team A)" title="Smiley-Erkenner :-) / :) (Team A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76425" cy="1562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0" w:before="0" w:line="276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B6770"/>
                <w:sz w:val="18"/>
                <w:szCs w:val="18"/>
              </w:rPr>
              <w:t xml:space="preserve">Smiley-Erkenner :-) / :) (Team A)</w:t>
            </w:r>
          </w:p>
        </w:tc>
      </w:tr>
    </w:tbl>
    <w:p>
      <w:pPr>
        <w:spacing w:after="80" w:before="0"/>
      </w:pPr>
    </w:p>
    <w:p>
      <w:pPr>
        <w:spacing w:after="100" w:before="0" w:line="276"/>
        <w:jc w:val="left"/>
      </w:pPr>
      <w:r>
        <w:rPr>
          <w:rFonts w:ascii="Calibri" w:cs="Calibri" w:eastAsia="Calibri" w:hAnsi="Calibri"/>
          <w:b/>
          <w:bCs/>
          <w:color w:val="1F2A2E"/>
          <w:sz w:val="19"/>
          <w:szCs w:val="19"/>
        </w:rPr>
        <w:t xml:space="preserve">Beispiel Smiley-Erkenner:</w:t>
      </w:r>
      <w:r>
        <w:rPr>
          <w:rFonts w:ascii="Calibri" w:cs="Calibri" w:eastAsia="Calibri" w:hAnsi="Calibri"/>
          <w:color w:val="1F2A2E"/>
          <w:sz w:val="19"/>
          <w:szCs w:val="19"/>
        </w:rPr>
        <w:t xml:space="preserve"> Runde 0: 8 Paare · Runde 1: (S0, S1), (S0, S2), (S1, F_err), (S2, F_err) · Runde 2: (S1, S2), (S0, F_err) · frei bleibt (S3, S4) ⇒ S3 und S4 zusammenfassen: 6 → 5 Zustände.</w:t>
      </w:r>
    </w:p>
    <w:tbl>
      <w:tblPr>
        <w:tblW w:type="dxa" w:w="9866"/>
        <w:tblBorders>
          <w:top w:val="single" w:color="C9D3D6" w:sz="6"/>
          <w:left w:val="single" w:color="C9D3D6" w:sz="6"/>
          <w:bottom w:val="single" w:color="C9D3D6" w:sz="6"/>
          <w:right w:val="single" w:color="C9D3D6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4F6F7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keepNext/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5B6770"/>
                <w:sz w:val="23"/>
                <w:szCs w:val="23"/>
              </w:rPr>
              <w:t xml:space="preserve">Warum funktioniert das?</w:t>
            </w:r>
          </w:p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Jede Markierung liefert ein unterscheidendes Wort: Zeichen a, gefolgt vom Wort des Folgepaares. Beispiel (S1, S2): mit „-“ nach (S2, F_err), dieses mit „)“ ⇒ Wort </w:t>
            </w:r>
            <w:r>
              <w:rPr>
                <w:rFonts w:ascii="Consolas" w:cs="Consolas" w:eastAsia="Consolas" w:hAnsi="Consolas"/>
                <w:color w:val="0A4A3F"/>
                <w:sz w:val="19"/>
                <w:szCs w:val="19"/>
              </w:rPr>
              <w:t xml:space="preserve">-)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. Was nie markiert wird, kann kein Wort unterscheiden.</w:t>
            </w:r>
          </w:p>
        </w:tc>
      </w:tr>
    </w:tbl>
    <w:p>
      <w:pPr>
        <w:spacing w:after="140" w:before="0"/>
      </w:pP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3  Mindestzahl von Zuständen begründen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  <w:color w:val="1F2A2E"/>
          <w:sz w:val="20"/>
          <w:szCs w:val="20"/>
        </w:rPr>
        <w:t xml:space="preserve">Ein konkreter Automat mit n Zuständen zeigt nur: </w:t>
      </w: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höchstens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n Zustände sind nötig.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Mindestens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n: Gib n Eingaben (Präfixe) an, die </w:t>
      </w: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paarweise unterscheidbar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sind, und nenne für jedes Paar ein unterscheidendes Wort. Nach diesen Eingaben muss sich jeder Automat in n verschiedenen Zuständen befinden.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Beispiel: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„genau drei a“ über {a, b}: ε, a, aa, aaa, aaaa sind paarweise unterscheidbar (z. B. a/aa durch </w:t>
      </w:r>
      <w:r>
        <w:rPr>
          <w:rFonts w:ascii="Consolas" w:cs="Consolas" w:eastAsia="Consolas" w:hAnsi="Consolas"/>
          <w:color w:val="0A4A3F"/>
          <w:sz w:val="19"/>
          <w:szCs w:val="19"/>
        </w:rPr>
        <w:t xml:space="preserve">a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, aaa/aaaa durch ε, ε/aaaa durch </w:t>
      </w:r>
      <w:r>
        <w:rPr>
          <w:rFonts w:ascii="Consolas" w:cs="Consolas" w:eastAsia="Consolas" w:hAnsi="Consolas"/>
          <w:color w:val="0A4A3F"/>
          <w:sz w:val="19"/>
          <w:szCs w:val="19"/>
        </w:rPr>
        <w:t xml:space="preserve">aaa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) ⇒ mindestens 5 Zustände (mit Fehlerzustand).</w:t>
      </w: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4  Abi-Check: Operatoren und Antwortmuster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3629"/>
        <w:gridCol w:w="6237"/>
      </w:tblGrid>
      <w:tr>
        <w:trPr>
          <w:cantSplit/>
          <w:tblHeader/>
        </w:trPr>
        <w:tc>
          <w:tcPr>
            <w:tcW w:type="dxa" w:w="3629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Aufgabenstellung</w:t>
            </w:r>
          </w:p>
        </w:tc>
        <w:tc>
          <w:tcPr>
            <w:tcW w:type="dxa" w:w="6237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So gehst du vor</w:t>
            </w:r>
          </w:p>
        </w:tc>
      </w:tr>
      <w:tr>
        <w:trPr>
          <w:cantSplit/>
          <w:tblHeader w:val="false"/>
        </w:trPr>
        <w:tc>
          <w:tcPr>
            <w:tcW w:type="dxa" w:w="362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Begründen Sie, dass sich der Automat nach den Eingaben u und v in verschiedenen Zuständen befinden muss.</w:t>
            </w:r>
          </w:p>
        </w:tc>
        <w:tc>
          <w:tcPr>
            <w:tcW w:type="dxa" w:w="623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Ein Wort w angeben, sodass uw akzeptiert und vw abgelehnt wird (beide Verarbeitungen im Sachzusammenhang kurz begründen). Schluss: „Wäre der Automat in demselben Zustand, müsste er beide Eingaben gleich behandeln.“</w:t>
            </w:r>
          </w:p>
        </w:tc>
      </w:tr>
      <w:tr>
        <w:trPr>
          <w:cantSplit/>
          <w:tblHeader w:val="false"/>
        </w:trPr>
        <w:tc>
          <w:tcPr>
            <w:tcW w:type="dxa" w:w="362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… allerdings nicht nach x und y.</w:t>
            </w:r>
          </w:p>
        </w:tc>
        <w:tc>
          <w:tcPr>
            <w:tcW w:type="dxa" w:w="623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Zeigen, dass jede Fortsetzung gleich behandelt wird: Die für die Entscheidung relevante Information (z. B. letzte Ergebnisse) ist nach x und y gleich.</w:t>
            </w:r>
          </w:p>
        </w:tc>
      </w:tr>
      <w:tr>
        <w:trPr>
          <w:cantSplit/>
          <w:tblHeader w:val="false"/>
        </w:trPr>
        <w:tc>
          <w:tcPr>
            <w:tcW w:type="dxa" w:w="362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Untersuchen Sie, inwieweit Zustände zusammengefasst werden können.</w:t>
            </w:r>
          </w:p>
        </w:tc>
        <w:tc>
          <w:tcPr>
            <w:tcW w:type="dxa" w:w="623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Äquivalente Zustände nennen und begründen (gleiche Bedeutung für die weitere Entscheidung oder Markierungsverfahren); für nicht zusammenfassbare Paare je ein unterscheidendes Wort.</w:t>
            </w:r>
          </w:p>
        </w:tc>
      </w:tr>
      <w:tr>
        <w:trPr>
          <w:cantSplit/>
          <w:tblHeader w:val="false"/>
        </w:trPr>
        <w:tc>
          <w:tcPr>
            <w:tcW w:type="dxa" w:w="362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Begründen Sie, dass mindestens n Zustände (bzw. n zusätzliche Zustände) nötig sind.</w:t>
            </w:r>
          </w:p>
        </w:tc>
        <w:tc>
          <w:tcPr>
            <w:tcW w:type="dxa" w:w="623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n paarweise unterscheidbare Präfixe angeben; je Paar ein unterscheidendes Wort.</w:t>
            </w:r>
          </w:p>
        </w:tc>
      </w:tr>
    </w:tbl>
    <w:p>
      <w:pPr>
        <w:spacing w:after="140" w:before="0"/>
      </w:pP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5  Vorher – nachher: „endet auf ab“</w:t>
      </w: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3"/>
        <w:gridCol w:w="4933"/>
      </w:tblGrid>
      <w:tr>
        <w:trPr>
          <w:cantSplit/>
        </w:trPr>
        <w:tc>
          <w:tcPr>
            <w:tcW w:type="dxa" w:w="49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keepNext/>
              <w:spacing w:after="20" w:before="60"/>
              <w:jc w:val="center"/>
            </w:pPr>
            <w:r>
              <w:drawing>
                <wp:inline distT="0" distB="0" distL="0" distR="0">
                  <wp:extent cx="2667000" cy="1333500"/>
                  <wp:effectExtent t="0" r="0" b="0" l="0"/>
                  <wp:docPr id="1" name="endet_ab.png" descr="Entwurf: 5 Zustände" title="Entwurf: 5 Zuständ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0" w:before="0" w:line="276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B6770"/>
                <w:sz w:val="18"/>
                <w:szCs w:val="18"/>
              </w:rPr>
              <w:t xml:space="preserve">Entwurf: 5 Zustände</w:t>
            </w:r>
          </w:p>
        </w:tc>
        <w:tc>
          <w:tcPr>
            <w:tcW w:type="dxa" w:w="49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keepNext/>
              <w:spacing w:after="20" w:before="60"/>
              <w:jc w:val="center"/>
            </w:pPr>
            <w:r>
              <w:drawing>
                <wp:inline distT="0" distB="0" distL="0" distR="0">
                  <wp:extent cx="2667000" cy="1019175"/>
                  <wp:effectExtent t="0" r="0" b="0" l="0"/>
                  <wp:docPr id="1" name="endet_ab_min.png" descr="Minimal: S1, S3, S4 zusammengefasst (Bedeutung: „zuletzt ein a“)" title="Minimal: S1, S3, S4 zusammengefasst (Bedeutung: „zuletzt ein a“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019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0" w:before="0" w:line="276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B6770"/>
                <w:sz w:val="18"/>
                <w:szCs w:val="18"/>
              </w:rPr>
              <w:t xml:space="preserve">Minimal: S1, S3, S4 zusammengefasst (Bedeutung: „zuletzt ein a“)</w:t>
            </w:r>
          </w:p>
        </w:tc>
      </w:tr>
    </w:tbl>
    <w:p>
      <w:pPr>
        <w:spacing w:after="80" w:before="0"/>
      </w:pPr>
    </w:p>
    <w:tbl>
      <w:tblPr>
        <w:tblW w:type="dxa" w:w="9866"/>
        <w:tblBorders>
          <w:top w:val="single" w:color="F7E3E3" w:sz="6"/>
          <w:left w:val="single" w:color="F7E3E3" w:sz="6"/>
          <w:bottom w:val="single" w:color="F7E3E3" w:sz="6"/>
          <w:right w:val="single" w:color="F7E3E3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7E3E3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keepNext/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A83232"/>
                <w:sz w:val="23"/>
                <w:szCs w:val="23"/>
              </w:rPr>
              <w:t xml:space="preserve">Typischer Fehler</w:t>
            </w:r>
          </w:p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„S3 und S4 sind verschieden, weil sie verschiedene Namen haben / in verschiedene Zustände führen“ – das ist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keine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Begründung. Unterscheidbarkeit wird immer mit einem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konkreten Wort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gezeigt, Äquivalenz mit dem Verhalten für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alle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Wörter.</w:t>
            </w:r>
          </w:p>
          <w:p>
            <w:pPr>
              <w:spacing w:after="0" w:before="100"/>
            </w:pPr>
            <w:r>
              <w:rPr>
                <w:rFonts w:ascii="Calibri" w:cs="Calibri" w:eastAsia="Calibri" w:hAnsi="Calibri"/>
                <w:b/>
                <w:bCs/>
                <w:color w:val="A83232"/>
                <w:sz w:val="17"/>
                <w:szCs w:val="17"/>
              </w:rPr>
              <w:t xml:space="preserve">Abitur-Fallen: </w:t>
            </w:r>
            <w:r>
              <w:rPr>
                <w:rFonts w:ascii="Calibri" w:cs="Calibri" w:eastAsia="Calibri" w:hAnsi="Calibri"/>
                <w:b/>
                <w:bCs/>
                <w:color w:val="A83232"/>
                <w:sz w:val="17"/>
                <w:szCs w:val="17"/>
              </w:rPr>
              <w:t xml:space="preserve">P4 </w:t>
            </w:r>
            <w:r>
              <w:rPr>
                <w:rFonts w:ascii="Calibri" w:cs="Calibri" w:eastAsia="Calibri" w:hAnsi="Calibri"/>
                <w:color w:val="5B6770"/>
                <w:sz w:val="17"/>
                <w:szCs w:val="17"/>
              </w:rPr>
              <w:t xml:space="preserve">Unterscheidbarkeit ohne konkretes Wort begründet</w:t>
            </w:r>
          </w:p>
        </w:tc>
      </w:tr>
    </w:tbl>
    <w:p>
      <w:pPr>
        <w:spacing w:after="140" w:before="0"/>
      </w:pPr>
    </w:p>
    <w:sectPr>
      <w:headerReference w:type="default" r:id="rId7"/>
      <w:footerReference w:type="default" r:id="rId8"/>
      <w:pgSz w:w="11906" w:h="16838" w:orient="portrait"/>
      <w:pgMar w:top="900" w:right="1020" w:bottom="900" w:left="1020" w:header="450" w:footer="4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866"/>
      </w:tabs>
    </w:pPr>
    <w:r>
      <w:rPr>
        <w:rFonts w:ascii="Calibri" w:cs="Calibri" w:eastAsia="Calibri" w:hAnsi="Calibri"/>
        <w:color w:val="5B6770"/>
        <w:sz w:val="16"/>
        <w:szCs w:val="16"/>
      </w:rPr>
      <w:t xml:space="preserve">Max-Planck-Gymnasium Delmenhorst  ·  M03 · Merkblatt Minimierung</w:t>
    </w:r>
    <w:r>
      <w:rPr>
        <w:rFonts w:ascii="Calibri" w:cs="Calibri" w:eastAsia="Calibri" w:hAnsi="Calibri"/>
        <w:color w:val="5B6770"/>
        <w:sz w:val="16"/>
        <w:szCs w:val="16"/>
      </w:rPr>
      <w:t xml:space="preserve">	Seite </w:t>
      <w:fldChar w:fldCharType="begin"/>
      <w:instrText xml:space="preserve">PAGE</w:instrText>
      <w:fldChar w:fldCharType="separate"/>
      <w:fldChar w:fldCharType="end"/>
      <w:t xml:space="preserve"> von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866"/>
      </w:tabs>
    </w:pPr>
    <w:r>
      <w:rPr>
        <w:rFonts w:ascii="Calibri" w:cs="Calibri" w:eastAsia="Calibri" w:hAnsi="Calibri"/>
        <w:color w:val="5B6770"/>
        <w:sz w:val="16"/>
        <w:szCs w:val="16"/>
      </w:rPr>
      <w:t xml:space="preserve">Maschinen, die Sprache verstehen</w:t>
    </w:r>
    <w:r>
      <w:rPr>
        <w:rFonts w:ascii="Calibri" w:cs="Calibri" w:eastAsia="Calibri" w:hAnsi="Calibri"/>
        <w:color w:val="5B6770"/>
        <w:sz w:val="16"/>
        <w:szCs w:val="16"/>
      </w:rPr>
      <w:t xml:space="preserve">	Informatik · Zusatz · Automaten &amp; formale Sprachen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400" w:hanging="260"/>
      </w:pPr>
      <w:rPr>
        <w:color w:val="0E6455"/>
      </w:rPr>
    </w:lvl>
    <w:lvl w:ilvl="1" w15:tentative="1">
      <w:start w:val="1"/>
      <w:numFmt w:val="bullet"/>
      <w:lvlText w:val="–"/>
      <w:lvlJc w:val="left"/>
      <w:pPr>
        <w:ind w:left="800" w:hanging="260"/>
      </w:pPr>
      <w:rPr>
        <w:color w:val="5B6770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2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22bc673f1080d0dc4f88ba904831162e890482c.png"/><Relationship Id="rId10" Type="http://schemas.openxmlformats.org/officeDocument/2006/relationships/image" Target="media/be5540f42caff4adc8e2a326038a1dd30818f242.png"/><Relationship Id="rId11" Type="http://schemas.openxmlformats.org/officeDocument/2006/relationships/image" Target="media/7aa8265d17437e0a11a5eebf1b1f5a13777cde4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Minimierung &amp; Zustandsanzahl begründen</dc:title>
  <dc:creator>Frank Juchim</dc:creator>
  <dc:description>Informatik gA/eA – Automaten und formale Sprachen</dc:description>
  <cp:lastModifiedBy>Un-named</cp:lastModifiedBy>
  <cp:revision>1</cp:revision>
  <dcterms:created xsi:type="dcterms:W3CDTF">2026-10-14T15:58:49.997Z</dcterms:created>
  <dcterms:modified xsi:type="dcterms:W3CDTF">2026-10-14T15:58:49.998Z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