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M12  ·  Zusatz  ·  Niveau: gA und eA (Teile nur eA)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34"/>
                <w:szCs w:val="34"/>
              </w:rPr>
              <w:t xml:space="preserve">Abi-Spickzettel: Operatoren &amp; Antwortmuster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M12 · Automaten und formale Sprachen · Was in einer vollständigen Antwort steht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gA und eA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spacing w:after="40" w:before="0" w:line="276"/>
        <w:jc w:val="left"/>
      </w:pPr>
      <w:r>
        <w:rPr>
          <w:rFonts w:ascii="Calibri" w:cs="Calibri" w:eastAsia="Calibri" w:hAnsi="Calibri"/>
          <w:color w:val="1F2A2E"/>
          <w:sz w:val="17"/>
          <w:szCs w:val="17"/>
        </w:rPr>
        <w:t xml:space="preserve">Im Zentralabitur (Block 2, eA) kehren dieselben Aufgabentypen wieder. Für jeden Typ: das </w:t>
      </w:r>
      <w:r>
        <w:rPr>
          <w:rFonts w:ascii="Calibri" w:cs="Calibri" w:eastAsia="Calibri" w:hAnsi="Calibri"/>
          <w:b/>
          <w:bCs/>
          <w:color w:val="1F2A2E"/>
          <w:sz w:val="17"/>
          <w:szCs w:val="17"/>
        </w:rPr>
        <w:t xml:space="preserve">Antwortmuster</w:t>
      </w:r>
      <w:r>
        <w:rPr>
          <w:rFonts w:ascii="Calibri" w:cs="Calibri" w:eastAsia="Calibri" w:hAnsi="Calibri"/>
          <w:color w:val="1F2A2E"/>
          <w:sz w:val="17"/>
          <w:szCs w:val="17"/>
        </w:rPr>
        <w:t xml:space="preserve"> (was in einer vollständigen Antwort steht) und ein kurzes Beispiel.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A  Automaten: DEA, Mealy, Grenzen, Kellerautomat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211"/>
        <w:gridCol w:w="4366"/>
        <w:gridCol w:w="3289"/>
      </w:tblGrid>
      <w:tr>
        <w:trPr>
          <w:cantSplit/>
          <w:tblHeader/>
        </w:trPr>
        <w:tc>
          <w:tcPr>
            <w:tcW w:type="dxa" w:w="221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Aufgabenstellung</w:t>
            </w:r>
          </w:p>
        </w:tc>
        <w:tc>
          <w:tcPr>
            <w:tcW w:type="dxa" w:w="436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So antwortest du</w:t>
            </w:r>
          </w:p>
        </w:tc>
        <w:tc>
          <w:tcPr>
            <w:tcW w:type="dxa" w:w="328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Musterbeispiel (kurz)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Stellen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die Verarbeitung der Eingabe …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dar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Zustandsfolge mit gelesenen Zeichen; am Ende Ergebnis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mit Begründung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: Endzustand ⇒ akzeptiert, kein Endzustand / Fehlerzustand ⇒ abgelehnt. Bei langen Wörtern Tabelle.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A4A3F"/>
                <w:sz w:val="15"/>
                <w:szCs w:val="15"/>
              </w:rPr>
              <w:t xml:space="preserve">LOOL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: S0 –L→ S1 –O→ S2 –O→ S0 –L→ S1 ⇒ abgelehnt, da S1 kein Endzustand ist.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Erläutern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die Bedeutung des Zustands Si (in Bezug auf die Problemstellung).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Satzmuster: „Der Automat befindet sich genau dann in Si, wenn bisher …“ –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im Sachzusammenhang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, nicht nur „nach dem Lesen von L“. Ggf. ergänzen, was noch fehlt, damit akzeptiert wird.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Kaffeeautomat, S3: „Es wurden bisher genau 30 ct eingeworfen; es fehlen 10 ct, daher kein Endzustand.“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Untersuchen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, welche Eingaben akzeptiert werden. /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Beschreiben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die Sprache.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Wege vom Start zu den Endzuständen verfolgen; Bedingung in Worten (und als Menge) angeben; mit zwei Beispielen und einem Gegenbeispiel absichern.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„Akzeptiert werden genau die Wörter über {a, b}, die auf ab enden“: L = {w ∈ Σ* | w endet auf ab}; aab ✓, ba ✗.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Ergänzen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den Zustandsgraphen. /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Entwickeln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einen endlichen Automaten, der …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Erst sammeln, was sich der Automat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merken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muss (→ Zustände), dann Übergänge, Start-/Endzustände, Σ.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Vollständig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zeichnen oder Hinweis setzen. Grenzfälle testen (ε, kürzestes Wort, ein Zeichen zu viel).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Hinweis-Satz: „Alle nicht eingezeichneten Übergänge führen in einen Fehlerzustand.“ Zählen modulo 3 ⇒ drei Zustände S0, S1, S2 (Rest 0, 1, 2).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Untersuchen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, inwieweit Zustände zusammengefasst werden können.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Endzustand / Nicht-Endzustand ⇒ unterscheidbar.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Äquivalent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, wenn sie für jedes Zeichen in gleiche (oder äquivalente) Zustände wechseln. Ergebnis: welche Paare, neuer Automat oder „bereits minimal“.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„S2 und S4 sind äquivalent: Beide sind Endzustände und wechseln mit a nach S1 und mit b nach S3, also in dieselben Zustände. S0 und S2 sind unterscheidbar (End- / Nicht-Endzustand).“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Begründen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, dass sich der Automat nach u und nach v in verschiedenen Zuständen befinden muss. / dass mindestens n Zustände nötig sind.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Ein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unterscheidendes Wort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w angeben: uw wird akzeptiert, vw nicht (oder umgekehrt). Wären die Zustände gleich, würde der Automat beide gleich behandeln – Widerspruch. Für „mindestens n“: n paarweise unterscheidbare Präfixe.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Trainer (Entlassung nach drei Spielen ohne Sieg): „Nach 30 und 03 verschieden: Mit Fortsetzung 00 wird 3000 akzeptiert (entlassen), 0300 nicht.“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Mealy: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Geben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die Ausgabe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an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. /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Entwickeln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einen Mealy-Automaten, der …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Lauf mit „Eingabe / Ausgabe“ notieren, Ausgabe zusammensetzen (ε = nichts). Entwurf: Σ, Ω angeben,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keine Endzustände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, vollständiger Graph, Zustand = das, was für die nächste Ausgabe wichtig ist.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Süßigkeitenautomat: S0 –M / ε→ S1 –H / B→ S0, Ausgabe B; Ω = {B}.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Begründen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, dass es keinen endlichen Automaten gibt, der …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Schubfachargument: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(1) Annahme: DEA mit k Zuständen. (2) k + 1 Präfixe a¹, …, aᵏ⁺¹ – zwei (aⁱ, aʲ, i ≠ j) enden im selben Zustand. (3) Gleiche Fortsetzung bⁱ: aⁱbⁱ ∈ L akzeptiert ⇒ aʲbⁱ ebenfalls. (4) aʲbⁱ ∉ L – Widerspruch. Sachbezug: „muss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unbeschränkt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zählen“.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Klammern: Präfixe (, ((, (((, …; zwei im selben Zustand; Fortsetzung )ⁱ ⇒ falsch geklammertes Wort akzeptiert.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Begründen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die Verwendung eines Kellerautomaten (in Bezug auf die Problemstellung).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Zwei Teile: (1) Warum kein DEA: Es muss eine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unbeschränkte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Anzahl gemerkt / verglichen werden (Argument wie oben, kurz). (2) Wie der Keller hilft: pro gelesener Einheit ein Kellerzeichen ablegen, beim Vergleichen abbauen; Akzeptanz, wenn … aufgeht.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„Die Quersumme der ersten Folge kann beliebig groß werden; der Keller speichert sie als Anzahl Z und baut pro Zeichen der zweiten Folge ein Z ab.“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Dokumentieren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die Verarbeitung durch den Kellerautomaten (Tabelle).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Spalten: Zustand | Belegung Kellerspeicher | oberstes Kellersymbol | verarbeitetes Eingabezeichen. Erste Zeile S0 | # | – | –. Oberstes Zeichen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links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; ε-Übergang eigene Zeile. Schluss: „akzeptiert: ja/nein“ (Endzustand nach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vollständiger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Eingabe).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aabb: S0 | # | – | – → S0 | A# | # | a → S0 | AA# | A | a → S1 | A# | A | b → S1 | # | A | b → S2 | # | # | ε ⇒ akzeptiert: ja.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Erläutern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die Bedeutung des Kellerspeichers im Sachzusammenhang.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„Jedes Zeichen X im Keller steht für ein/e … (gelesene Einheit, offene Klammer, noch zu … Element).“ Kellerhöhe = aktuelle Differenz / offener Rest. Sagen, was passiert, wenn der Keller nur noch # enthält.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„Jedes A steht für ein gelesenes a, für das noch kein b gelesen wurde.“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Bestimmen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das Eingabewort aus Zustands- und Kellerfolge.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Zeile für Zeile: Welcher Übergang erklärt (Zustand, Kelleränderung)? Daraus das Eingabezeichen (oder ε) ablesen; Wort zusammensetzen und zur Kontrolle einmal vorwärts prüfen.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K: # → A# in S0 ⇒ Übergang (#, a) : A# ⇒ Zeichen a.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B  Grammatiken und formale Sprachen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211"/>
        <w:gridCol w:w="4366"/>
        <w:gridCol w:w="3289"/>
      </w:tblGrid>
      <w:tr>
        <w:trPr>
          <w:cantSplit/>
          <w:tblHeader/>
        </w:trPr>
        <w:tc>
          <w:tcPr>
            <w:tcW w:type="dxa" w:w="221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Aufgabenstellung</w:t>
            </w:r>
          </w:p>
        </w:tc>
        <w:tc>
          <w:tcPr>
            <w:tcW w:type="dxa" w:w="436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So antwortest du</w:t>
            </w:r>
          </w:p>
        </w:tc>
        <w:tc>
          <w:tcPr>
            <w:tcW w:type="dxa" w:w="328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Musterbeispiel (kurz)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Zeigen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, dass das Wort w erzeugt wird.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Ableitung mit ⇒ vom Startsymbol bis w, jede Regelanwendung ein Schritt (Linksableitung); bei Bedarf die verwendete Regel daneben notieren.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S ⇒ aSb ⇒ aaSbb ⇒ aaabbb (dreimal S → aSb, dann S → ab).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Beschreiben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die Sprache, die die Grammatik erzeugt.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Einige kurze Wörter ableiten, Muster erkennen (Wiederholung, Paare, Verschachtelung), Bedingung in Worten und als Menge angeben.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„Alle Wörter aus n a gefolgt von n b, n ≥ 1“: L = {aⁿbⁿ | n ≥ 1}.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Entwickeln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eine reguläre Grammatik.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Aus dem DEA übersetzen: Zustand ↔ Nichtterminal, Si –a→ Sj ↔ Si → aSj, Endzustand ↔ Si → ε.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N, T, S, P vollständig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angeben; nur Regeln der Form A → aB | a | ε (rechtsregulär). Fehlerzustand weglassen.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DEA S0 –a→ S1 (Endzustand): S0 → aS1, S1 → ε (oder S0 → a).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Entwickeln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eine (kontextfreie) Grammatik.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Bausteine: Paare S → aSb | ab; Klammern S → (S)S | ε; Spiegel S → aSa | bSb | ε; Folgen A → aA | ε. Ein Nichtterminal je „Rolle“. Mit zwei Wörtern (kurz, verschachtelt) testen.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Palindrome über {0, 1}: S → 0S0 | 1S1 | 0 | 1 | ε.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Begründen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, dass die Grammatik (nicht) regulär ist. / dass die Sprache nicht regulär ist.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Grammatik: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Regelform prüfen – nur A → aB | a | ε ⇒ regulär; zwei Nichtterminale oder Terminal rechts vom Nichtterminal ⇒ nicht regulär. Achtung: „Grammatik nicht regulär“ heißt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nicht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„Sprache nicht regulär“!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Sprache: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 Schubfachargument (A).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„S → aSb ist nicht rechtsregulär (Terminal nach dem Nichtterminal).“ – „A → 0A | 1A | ε ist regulär.“</w:t>
            </w:r>
          </w:p>
        </w:tc>
      </w:tr>
      <w:tr>
        <w:trPr>
          <w:cantSplit/>
          <w:tblHeader w:val="false"/>
        </w:trPr>
        <w:tc>
          <w:tcPr>
            <w:tcW w:type="dxa" w:w="22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Verändern / Erweitern Sie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 die Grammatik so, dass …</w:t>
            </w:r>
          </w:p>
        </w:tc>
        <w:tc>
          <w:tcPr>
            <w:tcW w:type="dxa" w:w="43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Regel ergänzen oder ersetzen; prüfen, dass gewünschte Wörter weiterhin ableitbar sind und unerwünschte nicht; ein neues Wort ableiten.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„Auch das leere Wort soll erzeugt werden“: S → aSb | ab wird zu S → aSb | ε; Test: S ⇒ ε.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C  Die zehn Abitur-Fallen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17"/>
          <w:szCs w:val="17"/>
        </w:rPr>
        <w:t xml:space="preserve">Diese Fehler kosten im Abitur am häufigsten Punkte. Die Nummern stehen auch in den Warnkästen der Materialien und im Fallen-Profil deiner Lehrkraft.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737"/>
        <w:gridCol w:w="3175"/>
        <w:gridCol w:w="5954"/>
      </w:tblGrid>
      <w:tr>
        <w:trPr>
          <w:cantSplit/>
          <w:tblHeader/>
        </w:trPr>
        <w:tc>
          <w:tcPr>
            <w:tcW w:type="dxa" w:w="73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Nr.</w:t>
            </w:r>
          </w:p>
        </w:tc>
        <w:tc>
          <w:tcPr>
            <w:tcW w:type="dxa" w:w="317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Falle</w:t>
            </w:r>
          </w:p>
        </w:tc>
        <w:tc>
          <w:tcPr>
            <w:tcW w:type="dxa" w:w="595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So vermeidest du sie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P1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Automat unvollständig, Fehlerzustand-Hinweis fehlt</w:t>
            </w:r>
          </w:p>
        </w:tc>
        <w:tc>
          <w:tcPr>
            <w:tcW w:type="dxa" w:w="595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jeder Zustand für jedes Zeichen aus Σ einen Übergang oder Hinweissatz; vor Komplement/Minimierung vervollständigen; Mealy-Graph vollständig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P2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Akzeptanz falsch entschieden</w:t>
            </w:r>
          </w:p>
        </w:tc>
        <w:tc>
          <w:tcPr>
            <w:tcW w:type="dxa" w:w="595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Zustand nach dem letzten Zeichen zählt; NEA/NKA: ein akzeptierender Lauf genügt; NKA: Endzustand nach vollständiger Eingabe, nicht „Keller leer“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P3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Entwurf nicht an Grenzfällen getestet</w:t>
            </w:r>
          </w:p>
        </w:tc>
        <w:tc>
          <w:tcPr>
            <w:tcW w:type="dxa" w:w="595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Neuanfang bei „enthält/endet auf“, ε, kürzestes Wort, ein Zeichen zu viel; Grammatik erzeugt zu viel/zu wenig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P4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Unterscheidbarkeit ohne konkretes Wort begründet</w:t>
            </w:r>
          </w:p>
        </w:tc>
        <w:tc>
          <w:tcPr>
            <w:tcW w:type="dxa" w:w="595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unterscheidendes Wort mit beiden Verarbeitungen; Äquivalenz über Folgezustände; „mindestens n“ = n paarweise unterscheidbare Präfixe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P5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Mealy mit Endzuständen oder ohne ε</w:t>
            </w:r>
          </w:p>
        </w:tc>
        <w:tc>
          <w:tcPr>
            <w:tcW w:type="dxa" w:w="595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keine Endzustände, „e / a“ an der Kante, leere Ausgabe ε (nicht N/–), Σ und Ω, vollständiger Graph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P6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Regularität ohne Schubfachargument beurteilt</w:t>
            </w:r>
          </w:p>
        </w:tc>
        <w:tc>
          <w:tcPr>
            <w:tcW w:type="dxa" w:w="595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für jeden DEA: k + 1 Präfixe, dieselbe Fortsetzung, Widerspruch; endlich/modulo/Obergrenze sind regulär; Grammatik nicht regulär ≠ Sprache nicht regulär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P7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Kellerübergang falsch ausgeführt</w:t>
            </w:r>
          </w:p>
        </w:tc>
        <w:tc>
          <w:tcPr>
            <w:tcW w:type="dxa" w:w="595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(oberstes Kellerzeichen, Eingabe) : Ablage; gelesenes Zeichen wird entfernt, rechtes Zeichen zuerst abgelegt, # wieder ablegen, ε = nichts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P8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Verarbeitung nicht nach Konvention dokumentiert</w:t>
            </w:r>
          </w:p>
        </w:tc>
        <w:tc>
          <w:tcPr>
            <w:tcW w:type="dxa" w:w="595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Zustandsfolge S0 –a→ S1 mit Begründung; Kellertabelle mit vier Spalten, erste Zeile S0 | # | – | –, oberstes links, ε-Schritt eigene Zeile, „akzeptiert: ja/nein“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P9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Grammatik oder Ableitung formal fehlerhaft</w:t>
            </w:r>
          </w:p>
        </w:tc>
        <w:tc>
          <w:tcPr>
            <w:tcW w:type="dxa" w:w="595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N, T, Startsymbol, P; → in Regeln, ⇒ in Ableitungen, je Schritt eine Regel, am Ende nur Terminale; rechtsregulär nur A → aB | a | ε; Mehrdeutigkeit = zwei Bäume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6"/>
                <w:szCs w:val="16"/>
              </w:rPr>
              <w:t xml:space="preserve">P10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Operator verfehlt</w:t>
            </w:r>
          </w:p>
        </w:tc>
        <w:tc>
          <w:tcPr>
            <w:tcW w:type="dxa" w:w="595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6"/>
                <w:szCs w:val="16"/>
              </w:rPr>
              <w:t xml:space="preserve">„erläutern“ ohne Sachzusammenhang, „begründen“ ohne Begründung, Sprache nicht präzise beschrieben (Bedingung + Menge), Fachbegriffe fehlen</w:t>
            </w:r>
          </w:p>
        </w:tc>
      </w:tr>
    </w:tbl>
    <w:p>
      <w:pPr>
        <w:spacing w:after="140" w:before="0"/>
      </w:pPr>
    </w:p>
    <w:p>
      <w:pPr>
        <w:spacing w:after="100" w:before="40" w:line="276"/>
        <w:jc w:val="left"/>
      </w:pPr>
      <w:r>
        <w:rPr>
          <w:rFonts w:ascii="Calibri" w:cs="Calibri" w:eastAsia="Calibri" w:hAnsi="Calibri"/>
          <w:b/>
          <w:bCs/>
          <w:color w:val="1F2A2E"/>
          <w:sz w:val="16"/>
          <w:szCs w:val="16"/>
        </w:rPr>
        <w:t xml:space="preserve">Faustregeln:</w:t>
      </w:r>
      <w:r>
        <w:rPr>
          <w:rFonts w:ascii="Calibri" w:cs="Calibri" w:eastAsia="Calibri" w:hAnsi="Calibri"/>
          <w:color w:val="1F2A2E"/>
          <w:sz w:val="16"/>
          <w:szCs w:val="16"/>
        </w:rPr>
        <w:t xml:space="preserve"> nennen/angeben = ohne Begründung · begründen = Argument mit „da/weil“ · erläutern = erklären </w:t>
      </w:r>
      <w:r>
        <w:rPr>
          <w:rFonts w:ascii="Calibri" w:cs="Calibri" w:eastAsia="Calibri" w:hAnsi="Calibri"/>
          <w:b/>
          <w:bCs/>
          <w:color w:val="1F2A2E"/>
          <w:sz w:val="16"/>
          <w:szCs w:val="16"/>
        </w:rPr>
        <w:t xml:space="preserve">plus</w:t>
      </w:r>
      <w:r>
        <w:rPr>
          <w:rFonts w:ascii="Calibri" w:cs="Calibri" w:eastAsia="Calibri" w:hAnsi="Calibri"/>
          <w:color w:val="1F2A2E"/>
          <w:sz w:val="16"/>
          <w:szCs w:val="16"/>
        </w:rPr>
        <w:t xml:space="preserve"> Sachzusammenhang · beurteilen = Urteil + Begründung + Gegenargument · Zeit: etwa </w:t>
      </w:r>
      <w:r>
        <w:rPr>
          <w:rFonts w:ascii="Calibri" w:cs="Calibri" w:eastAsia="Calibri" w:hAnsi="Calibri"/>
          <w:b/>
          <w:bCs/>
          <w:color w:val="1F2A2E"/>
          <w:sz w:val="16"/>
          <w:szCs w:val="16"/>
        </w:rPr>
        <w:t xml:space="preserve">3 Minuten pro BE</w:t>
      </w:r>
      <w:r>
        <w:rPr>
          <w:rFonts w:ascii="Calibri" w:cs="Calibri" w:eastAsia="Calibri" w:hAnsi="Calibri"/>
          <w:color w:val="1F2A2E"/>
          <w:sz w:val="16"/>
          <w:szCs w:val="16"/>
        </w:rPr>
        <w:t xml:space="preserve"> · Notation wie in den Merkblättern.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M12 · Abi-Spickzettel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Abi-Spickzettel: Operatoren &amp; Antwortmuster</dc:title>
  <dc:creator>Frank Juchim</dc:creator>
  <dc:description>Informatik gA/eA – Automaten und formale Sprachen</dc:description>
  <cp:lastModifiedBy>Un-named</cp:lastModifiedBy>
  <cp:revision>1</cp:revision>
  <dcterms:created xsi:type="dcterms:W3CDTF">2026-10-14T15:59:19.328Z</dcterms:created>
  <dcterms:modified xsi:type="dcterms:W3CDTF">2026-10-14T15:59:19.329Z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