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Lernlandkarte</w:t>
            </w:r>
            <w:r>
              <w:rPr>
                <w:rFonts w:ascii="Calibri" w:cs="Calibri" w:eastAsia="Calibri" w:hAnsi="Calibri"/>
                <w:color w:val="5B6770"/>
                <w:sz w:val="18"/>
                <w:szCs w:val="18"/>
              </w:rPr>
              <w:t xml:space="preserve">   Begleitet die ganze Einheit  ·  Niveau: gA und eA (Teile nur eA)</w:t>
            </w:r>
          </w:p>
          <w:p>
            <w:pPr>
              <w:spacing w:after="40" w:before="20"/>
            </w:pPr>
            <w:r>
              <w:rPr>
                <w:rFonts w:ascii="Cambria" w:cs="Cambria" w:eastAsia="Cambria" w:hAnsi="Cambria"/>
                <w:b/>
                <w:bCs/>
                <w:color w:val="0E6455"/>
                <w:sz w:val="40"/>
                <w:szCs w:val="40"/>
              </w:rPr>
              <w:t xml:space="preserve">Meine Lernlandkarte</w:t>
            </w:r>
          </w:p>
          <w:p>
            <w:pPr>
              <w:spacing w:after="0"/>
            </w:pPr>
            <w:r>
              <w:rPr>
                <w:rFonts w:ascii="Calibri" w:cs="Calibri" w:eastAsia="Calibri" w:hAnsi="Calibri"/>
                <w:color w:val="5B6770"/>
                <w:sz w:val="22"/>
                <w:szCs w:val="22"/>
              </w:rPr>
              <w:t xml:space="preserve">Automaten und formale Sprachen – Pflicht-, Vertiefungs- und Bonus-Level</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pBdr>
                <w:bottom w:val="single" w:color="C9D3D6" w:sz="4" w:space="14"/>
              </w:pBdr>
              <w:spacing w:after="0"/>
            </w:pPr>
            <w:r>
              <w:rPr>
                <w:rFonts w:ascii="Calibri" w:cs="Calibri" w:eastAsia="Calibri" w:hAnsi="Calibri"/>
                <w:color w:val="5B6770"/>
                <w:sz w:val="16"/>
                <w:szCs w:val="16"/>
              </w:rPr>
              <w:t xml:space="preserve">Name</w:t>
            </w:r>
          </w:p>
          <w:p>
            <w:pPr>
              <w:pBdr>
                <w:bottom w:val="single" w:color="C9D3D6" w:sz="4" w:space="14"/>
              </w:pBdr>
              <w:spacing w:after="0" w:before="120"/>
            </w:pPr>
            <w:r>
              <w:rPr>
                <w:rFonts w:ascii="Calibri" w:cs="Calibri" w:eastAsia="Calibri" w:hAnsi="Calibri"/>
                <w:color w:val="5B6770"/>
                <w:sz w:val="16"/>
                <w:szCs w:val="16"/>
              </w:rPr>
              <w:t xml:space="preserve">Datum</w:t>
            </w:r>
          </w:p>
        </w:tc>
      </w:tr>
    </w:tbl>
    <w:p>
      <w:pPr>
        <w:pBdr>
          <w:bottom w:val="single" w:color="0E6455" w:sz="12" w:space="1"/>
        </w:pBdr>
        <w:spacing w:after="200" w:before="60"/>
      </w:pPr>
    </w:p>
    <w:p>
      <w:pPr>
        <w:spacing w:after="100" w:before="0" w:line="276"/>
        <w:jc w:val="left"/>
      </w:pPr>
      <w:r>
        <w:rPr>
          <w:rFonts w:ascii="Calibri" w:cs="Calibri" w:eastAsia="Calibri" w:hAnsi="Calibri"/>
          <w:color w:val="1F2A2E"/>
          <w:sz w:val="22"/>
          <w:szCs w:val="22"/>
        </w:rPr>
        <w:t xml:space="preserve">Diese Karte begleitet dich durch die Einheit. Kreuze nach jedem Level an, wie sicher du dich fühlst. Wo du „noch nicht“ ankreuzt, helfen dir das Merkblatt (M…) und das passende Modul im </w:t>
      </w:r>
      <w:r>
        <w:rPr>
          <w:rFonts w:ascii="Calibri" w:cs="Calibri" w:eastAsia="Calibri" w:hAnsi="Calibri"/>
          <w:b/>
          <w:bCs/>
          <w:color w:val="1F2A2E"/>
          <w:sz w:val="22"/>
          <w:szCs w:val="22"/>
        </w:rPr>
        <w:t xml:space="preserve">AutomatenLab</w:t>
      </w:r>
      <w:r>
        <w:rPr>
          <w:rFonts w:ascii="Calibri" w:cs="Calibri" w:eastAsia="Calibri" w:hAnsi="Calibri"/>
          <w:color w:val="1F2A2E"/>
          <w:sz w:val="22"/>
          <w:szCs w:val="22"/>
        </w:rPr>
        <w:t xml:space="preserve">.</w:t>
      </w:r>
    </w:p>
    <w:p>
      <w:pPr>
        <w:spacing w:after="100" w:before="0" w:line="276"/>
        <w:jc w:val="left"/>
      </w:pPr>
      <w:r>
        <w:rPr>
          <w:rFonts w:ascii="Calibri" w:cs="Calibri" w:eastAsia="Calibri" w:hAnsi="Calibri"/>
          <w:color w:val="5B6770"/>
          <w:sz w:val="18"/>
          <w:szCs w:val="18"/>
        </w:rPr>
        <w:t xml:space="preserve">Level ohne Zusatz gehören zum Pflichtweg. </w:t>
      </w:r>
      <w:r>
        <w:rPr>
          <w:rFonts w:ascii="Calibri" w:cs="Calibri" w:eastAsia="Calibri" w:hAnsi="Calibri"/>
          <w:b/>
          <w:bCs/>
          <w:color w:val="5B6770"/>
          <w:sz w:val="18"/>
          <w:szCs w:val="18"/>
        </w:rPr>
        <w:t xml:space="preserve">V</w:t>
      </w:r>
      <w:r>
        <w:rPr>
          <w:rFonts w:ascii="Calibri" w:cs="Calibri" w:eastAsia="Calibri" w:hAnsi="Calibri"/>
          <w:color w:val="5B6770"/>
          <w:sz w:val="18"/>
          <w:szCs w:val="18"/>
        </w:rPr>
        <w:t xml:space="preserve"> = Vertiefung (bei vier Wochen im Unterricht), </w:t>
      </w:r>
      <w:r>
        <w:rPr>
          <w:rFonts w:ascii="Calibri" w:cs="Calibri" w:eastAsia="Calibri" w:hAnsi="Calibri"/>
          <w:b/>
          <w:bCs/>
          <w:color w:val="5B6770"/>
          <w:sz w:val="18"/>
          <w:szCs w:val="18"/>
        </w:rPr>
        <w:t xml:space="preserve">B</w:t>
      </w:r>
      <w:r>
        <w:rPr>
          <w:rFonts w:ascii="Calibri" w:cs="Calibri" w:eastAsia="Calibri" w:hAnsi="Calibri"/>
          <w:color w:val="5B6770"/>
          <w:sz w:val="18"/>
          <w:szCs w:val="18"/>
        </w:rPr>
        <w:t xml:space="preserve"> = Bonus (freiwillig, zum Üben und Weiterdenken).</w:t>
      </w:r>
    </w:p>
    <w:p>
      <w:pPr>
        <w:spacing w:after="100" w:before="0" w:line="276"/>
        <w:jc w:val="left"/>
      </w:pPr>
      <w:r>
        <w:rPr>
          <w:rFonts w:ascii="Calibri" w:cs="Calibri" w:eastAsia="Calibri" w:hAnsi="Calibri"/>
          <w:b/>
          <w:bCs/>
          <w:color w:val="5B6770"/>
          <w:sz w:val="18"/>
          <w:szCs w:val="18"/>
        </w:rPr>
        <w:t xml:space="preserve">Grundkurs (gA):</w:t>
      </w:r>
      <w:r>
        <w:rPr>
          <w:rFonts w:ascii="Calibri" w:cs="Calibri" w:eastAsia="Calibri" w:hAnsi="Calibri"/>
          <w:color w:val="5B6770"/>
          <w:sz w:val="18"/>
          <w:szCs w:val="18"/>
        </w:rPr>
        <w:t xml:space="preserve"> Welt A (ohne Level 5) und Level 7 sind dein Abiturstoff. Level 9 bis 15 (Kellerautomaten, Grammatiken) sind nur im Leistungskurs (eA) Abiturthema – im Grundkurs freiwillig. Level 5, 8 und 16 sind für alle Zusatz.</w:t>
      </w:r>
    </w:p>
    <w:p>
      <w:pPr>
        <w:keepNext/>
        <w:spacing w:after="100" w:before="260"/>
      </w:pPr>
      <w:r>
        <w:rPr>
          <w:rFonts w:ascii="Cambria" w:cs="Cambria" w:eastAsia="Cambria" w:hAnsi="Cambria"/>
          <w:b/>
          <w:bCs/>
          <w:color w:val="0E6455"/>
          <w:sz w:val="27"/>
          <w:szCs w:val="27"/>
        </w:rPr>
        <w:t xml:space="preserve">Welt A – Endliche Automaten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den Aufbau eines DEA beschreiben (Σ, Zustände, Start-/Endzustände, Übergänge)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Arena</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Verarbeitung eines Wortes als Zustandsfolge darstellen und über Akzeptanz entscheiden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Arena</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Bedeutung eines Zustands im Sachzusammenhang erläutern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Detektiv</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formal angeben (Q, Σ, δ, S0, F) und zwischen Tabelle und Graph wechseln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Sprache eines gegebenen DEA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Detektiv</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zu einer Sprachbeschreibung systematisch entwickeln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M02, 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zwei Bedingungen in einem Automaten kombinieren und Komplemente bilden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M02, 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reale Abläufe als DEA modellieren und mit Testwörtern prüfen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4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mit unterscheidenden Wörtern begründen, dass Zustände verschieden sein müssen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 5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M03, Minimierer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mit dem Markierungsverfahren minimieren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5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M03, Minimierer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Mealy-Automaten beschreiben, analysieren und entwickeln (e / a, ε)</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M04, Mealy</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DEA und Mealy-Automat vergleichen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M04</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Welt B – Grenzen &amp; Keller</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erläutern, warum endliche Automaten nicht unbeschränkt zählen können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 Überliste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mit dem Schubfachprinzip begründen, dass es keinen DEA für eine Sprache gibt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NEA simulieren (Menge aktiver Zustände, ε-Übergänge)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8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M06, Parallelwelten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NEA in einen DEA umwandeln (Teilmengenkonstruktion)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 8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M06</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Aufbau und Arbeitsweise eines Kellerautomaten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Keller-Labor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Verarbeitung durch einen Kellerautomaten tabellarisch dokumentieren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Keller-Labor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Kellerautomaten für eine Sprache entwickeln (z. B. Klammern, aⁿbⁿ)</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Bedeutung des Kellerspeichers im Sachzusammenhang erläutern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M12</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begründen, wann ein Kellerautomat nötig ist und wann ein DEA genügt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7, 9</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 M07</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Welt C – Formale Sprachen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Eigenschaften formaler und natürlicher Sprachen vergleichen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zeigen, dass ein Wort von einer Grammatik erzeugt wird (Ableitung, Ableitungsbaum)</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 Rallye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von einer Grammatik erzeugte Sprache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rechtsreguläre Grammatik erkennen und entwickeln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M09,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in eine reguläre Grammatik übersetzen und umgekehrt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M09</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kontextfreie Grammatiken entwerfen (Klammern, Palindrome, aⁿbⁿ)</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Mehrdeutigkeit an zwei Ableitungsbäumen zeigen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Rallye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Sprachen in die Chomsky-Hierarchie einordnen und passende Maschinen nennen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 14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Sortierer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Bonus-Welt D und Abi-Training</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eigene kleine Sprache mit Grammatik, Automat und Übersetzer entwerfen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15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alle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Aufgabe im Abi-Format mit Operatoren formulieren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15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M12</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Arbeitsweise einer Turingmaschine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16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M11, Turing-Labor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Abi-Aufgaben zu Automaten und Sprachen sicher bearbeiten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M12, Boss-Level, Quiz</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1"/>
        <w:gridCol w:w="170"/>
        <w:gridCol w:w="7995"/>
      </w:tblGrid>
      <w:tr>
        <w:trPr>
          <w:cantSplit/>
          <w:trHeight w:val="1701" w:hRule="atLeast"/>
        </w:trPr>
        <w:tc>
          <w:tcPr>
            <w:tcW w:type="dxa" w:w="1701"/>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0"/>
              <w:jc w:val="center"/>
            </w:pPr>
            <w:r>
              <w:drawing>
                <wp:inline distT="0" distB="0" distL="0" distR="0">
                  <wp:extent cx="933450" cy="933450"/>
                  <wp:effectExtent t="0" r="0" b="0" l="0"/>
                  <wp:docPr id="1" name="qr" descr="https://automatenlab.frankjuchim.de/#/" titl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 cy="933450"/>
                          </a:xfrm>
                          <a:prstGeom prst="rect">
                            <a:avLst/>
                          </a:prstGeom>
                        </pic:spPr>
                      </pic:pic>
                    </a:graphicData>
                  </a:graphic>
                </wp:inline>
              </w:drawing>
            </w:r>
          </w:p>
        </w:tc>
        <w:tc>
          <w:tcPr>
            <w:tcW w:type="dxa" w:w="170"/>
            <w:tcBorders>
              <w:top w:val="none" w:color="FFFFFF" w:sz="0"/>
              <w:left w:val="none" w:color="FFFFFF" w:sz="0"/>
              <w:bottom w:val="none" w:color="FFFFFF" w:sz="0"/>
              <w:right w:val="none" w:color="FFFFFF" w:sz="0"/>
            </w:tcBorders>
          </w:tcPr>
          <w:p>
            <w:pPr>
              <w:spacing w:after="100" w:before="0" w:line="276"/>
              <w:jc w:val="left"/>
            </w:pPr>
          </w:p>
        </w:tc>
        <w:tc>
          <w:tcPr>
            <w:tcW w:type="dxa" w:w="7995"/>
            <w:tcBorders>
              <w:top w:val="none" w:color="FFFFFF" w:sz="0"/>
              <w:left w:val="none" w:color="FFFFFF" w:sz="0"/>
              <w:bottom w:val="none" w:color="FFFFFF" w:sz="0"/>
              <w:right w:val="none" w:color="FFFFFF" w:sz="0"/>
            </w:tcBorders>
            <w:shd w:fill="F1F7F6" w:color="auto" w:val="clear"/>
            <w:tcMar>
              <w:top w:type="dxa" w:w="100"/>
              <w:left w:type="dxa" w:w="200"/>
              <w:bottom w:type="dxa" w:w="100"/>
              <w:right w:type="dxa" w:w="160"/>
            </w:tcMar>
            <w:vAlign w:val="center"/>
          </w:tcPr>
          <w:p>
            <w:pPr>
              <w:spacing w:after="60"/>
            </w:pPr>
            <w:r>
              <w:rPr>
                <w:rFonts w:ascii="Calibri" w:cs="Calibri" w:eastAsia="Calibri" w:hAnsi="Calibri"/>
                <w:b/>
                <w:bCs/>
                <w:color w:val="B26A0F"/>
                <w:sz w:val="18"/>
                <w:szCs w:val="18"/>
              </w:rPr>
              <w:t xml:space="preserve">AutomatenLab  </w:t>
            </w:r>
            <w:r>
              <w:rPr>
                <w:rFonts w:ascii="Cambria" w:cs="Cambria" w:eastAsia="Cambria" w:hAnsi="Cambria"/>
                <w:b/>
                <w:bCs/>
                <w:color w:val="0E6455"/>
                <w:sz w:val="24"/>
                <w:szCs w:val="24"/>
              </w:rPr>
              <w:t xml:space="preserve">Startseite &amp; Level-Karte</w:t>
            </w:r>
          </w:p>
          <w:p>
            <w:pPr>
              <w:spacing w:after="60" w:before="0" w:line="276"/>
              <w:jc w:val="left"/>
            </w:pPr>
            <w:r>
              <w:rPr>
                <w:rFonts w:ascii="Calibri" w:cs="Calibri" w:eastAsia="Calibri" w:hAnsi="Calibri"/>
                <w:color w:val="1F2A2E"/>
                <w:sz w:val="20"/>
                <w:szCs w:val="20"/>
              </w:rPr>
              <w:t xml:space="preserve">Alle Module, dein Fortschritt und die Exit-Tickets (#/quiz?ds=1 … 16) auf einen Blick.</w:t>
            </w:r>
          </w:p>
          <w:p>
            <w:pPr>
              <w:spacing w:after="0" w:before="0" w:line="276"/>
              <w:jc w:val="left"/>
            </w:pPr>
            <w:r>
              <w:rPr>
                <w:rFonts w:ascii="Calibri" w:cs="Calibri" w:eastAsia="Calibri" w:hAnsi="Calibri"/>
                <w:color w:val="5B6770"/>
                <w:sz w:val="16"/>
                <w:szCs w:val="16"/>
              </w:rPr>
              <w:t xml:space="preserve">Link: https://automatenlab.frankjuchim.de/#/</w:t>
            </w:r>
          </w:p>
        </w:tc>
      </w:tr>
    </w:tbl>
    <w:p>
      <w:pPr>
        <w:spacing w:after="160" w:before="0"/>
      </w:pP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00 · Lernlandkarte</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gA und eA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05c70ca1af24a93d13b2727f0b6c28ab4c92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Lernlandkarte</dc:title>
  <dc:creator>Frank Juchim</dc:creator>
  <dc:description>Informatik gA/eA – Automaten und formale Sprachen</dc:description>
  <cp:lastModifiedBy>Un-named</cp:lastModifiedBy>
  <cp:revision>1</cp:revision>
  <dcterms:created xsi:type="dcterms:W3CDTF">2026-10-12T09:28:55.111Z</dcterms:created>
  <dcterms:modified xsi:type="dcterms:W3CDTF">2026-10-12T09:28:55.111Z</dcterms:modified>
</cp:coreProperties>
</file>

<file path=docProps/custom.xml><?xml version="1.0" encoding="utf-8"?>
<Properties xmlns="http://schemas.openxmlformats.org/officeDocument/2006/custom-properties" xmlns:vt="http://schemas.openxmlformats.org/officeDocument/2006/docPropsVTypes"/>
</file>