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Boss-Level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Welt B · Grenzen &amp; Keller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Boss-Level B: Erwartungshorizont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Tags im Web-Editor – 25 BE, Anforderungsbereiche I–III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zur Selbstkontrolle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Erwartungshorizont zur Selbstkontrolle. Andere fachlich richtige Lösungen sind gleichwertig. Die Automaten sind mit dem Unterrichtswerkzeug automata.py gegen die Sprachdefinition geprüft (Kellerautomat Abbildung 1: alle Tagfolgen bis Länge 8; Erweiterung f: bis Länge 6 bzw. 8 über einem Teilalphabet; DEA d: bis Länge 10).</w:t>
      </w:r>
    </w:p>
    <w:tbl>
      <w:tblPr>
        <w:tblW w:type="dxa" w:w="9867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624"/>
        <w:gridCol w:w="6747"/>
        <w:gridCol w:w="624"/>
        <w:gridCol w:w="624"/>
        <w:gridCol w:w="624"/>
        <w:gridCol w:w="624"/>
      </w:tblGrid>
      <w:tr>
        <w:trPr>
          <w:cantSplit/>
          <w:tblHeader/>
        </w:trPr>
        <w:tc>
          <w:tcPr>
            <w:tcW w:type="dxa" w:w="6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Teil</w:t>
            </w:r>
          </w:p>
        </w:tc>
        <w:tc>
          <w:tcPr>
            <w:tcW w:type="dxa" w:w="674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Erwartete Leistung</w:t>
            </w:r>
          </w:p>
        </w:tc>
        <w:tc>
          <w:tcPr>
            <w:tcW w:type="dxa" w:w="6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</w:t>
            </w:r>
          </w:p>
        </w:tc>
        <w:tc>
          <w:tcPr>
            <w:tcW w:type="dxa" w:w="6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</w:t>
            </w:r>
          </w:p>
        </w:tc>
        <w:tc>
          <w:tcPr>
            <w:tcW w:type="dxa" w:w="6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II</w:t>
            </w:r>
          </w:p>
        </w:tc>
        <w:tc>
          <w:tcPr>
            <w:tcW w:type="dxa" w:w="6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III</w:t>
            </w: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67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Tabelle siehe unten (je zwei korrekte Zeilen ca. 1 BE; Ankreuzen „ja“). Die Eingabe wird akzeptiert.</w:t>
            </w: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</w:p>
        </w:tc>
        <w:tc>
          <w:tcPr>
            <w:tcW w:type="dxa" w:w="67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Jedes Kellerzeichen steht für einen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geöffneten, noch nicht geschlossenen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Bereich: B für fett, I für kursiv; oben liegt der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zuletzt geöffnete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Bereich. Ein schließender Tag ist nur möglich, wenn das passende Zeichen oben liegt, und entfernt es. Der Übergang (#, ε) : # von S1 nach S0 wird ohne Lesen eines Zeichens ausgeführt, wenn # oben liegt, also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alle Bereiche geschlossen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sind; dann ist der Endzustand S0 erreicht (und es können neue Bereiche folgen).</w:t>
            </w: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c</w:t>
            </w:r>
          </w:p>
        </w:tc>
        <w:tc>
          <w:tcPr>
            <w:tcW w:type="dxa" w:w="67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Eingabewort: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i b /b /i b /b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. Begründung über die Belegungsänderungen: I# ⇒ i; BI# ⇒ b; I# ⇒ /b; # ⇒ /i; S1 → S0 bei unveränderter Belegung # ⇒ ε-Übergang; B# ⇒ b; # ⇒ /b; S1 → S0 ⇒ ε.</w:t>
            </w: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</w:t>
            </w: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</w:t>
            </w:r>
          </w:p>
        </w:tc>
        <w:tc>
          <w:tcPr>
            <w:tcW w:type="dxa" w:w="67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DEA mit S0 (Tiefe 0, Start- und Endzustand), S1 (Tiefe 1), S2 (Tiefe 2): S0 –b→ S1 –b→ S2, S2 –/b→ S1 –/b→ S0; Hinweis auf Fehlerzustand bzw. vollständiger Automat (z. B. S0 –/b→ Fehler, S2 –b→ Fehler). Graph siehe unten.</w:t>
            </w: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4</w:t>
            </w: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</w:t>
            </w: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</w:t>
            </w:r>
          </w:p>
        </w:tc>
        <w:tc>
          <w:tcPr>
            <w:tcW w:type="dxa" w:w="67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Annahme: Ein DEA mit k Zuständen erkennt die Sprache. Unter den k + 1 Präfixen b, bb, …, b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k+1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führen zwei, b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und b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(i &lt; j), in denselben Zustand. Mit der Fortsetzung (/b)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endet der Automat bei b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(/b)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und b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(/b)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im selben Zustand; das erste Wort ist korrekt, das zweite nicht (j − i Bereiche offen) – Widerspruch. Alternativ (mit Abzügen bei fehlender Präzision): Ein DEA kann sich nur endlich viele Schachteltiefen merken, die Tiefe ist aber unbeschränkt.</w:t>
            </w: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4</w:t>
            </w: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f</w:t>
            </w:r>
          </w:p>
        </w:tc>
        <w:tc>
          <w:tcPr>
            <w:tcW w:type="dxa" w:w="67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Γ = {#, B, I, U}. Zusätzliche Übergänge: S0 → S1: (#, u) : U#; Schleife an S1: (B, u) : UB, (I, u) : UI, (U, b) : BU, (U, i) : IU, (U, u) : UU, (U, /u) : ε und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(B, br) : B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(br nur, wenn B oben liegt; Keller bleibt unverändert). Kein Übergang mit br bei I, U oder #. Graph siehe unten.</w:t>
            </w: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5</w:t>
            </w: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g</w:t>
            </w:r>
          </w:p>
        </w:tc>
        <w:tc>
          <w:tcPr>
            <w:tcW w:type="dxa" w:w="67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Erster Teil richtig: Bei begrenzter Tiefe gibt es nur endlich viele mögliche Kellerinhalte, also genügt ein DEA. Er muss sich aber die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Reihenfolge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der offenen Bereiche merken (nicht nur die Anzahl): bei Tiefe ≤ 10 und zwei Bereichsarten 1 + 2 + 4 + … + 2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10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= 2047 Zustände (plus Fehlerzustand). Zweiter Teil richtig: Der Kellerautomat ist viel kleiner, übersichtlicher und ohne Änderung für jede Tiefe nutzbar.</w:t>
            </w: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67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Summe</w:t>
            </w: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25</w:t>
            </w: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5</w:t>
            </w: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13</w:t>
            </w:r>
          </w:p>
        </w:tc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7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Lösung a) – Tabelle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IB#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/i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BB#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/b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/b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☒ ja   ☐ nein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Lösung c) – Abbildung 3 mit Eingabezeichen</w:t>
      </w:r>
    </w:p>
    <w:tbl>
      <w:tblPr>
        <w:tblW w:type="dxa" w:w="9864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rPr>
          <w:cantSplit/>
          <w:tblHeader w:val="false"/>
          <w:trHeight w:val="425" w:hRule="atLeast"/>
        </w:trPr>
        <w:tc>
          <w:tcPr>
            <w:tcW w:type="dxa" w:w="170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Zustand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S0</w:t>
            </w:r>
          </w:p>
        </w:tc>
      </w:tr>
      <w:tr>
        <w:trPr>
          <w:cantSplit/>
          <w:tblHeader w:val="false"/>
          <w:trHeight w:val="425" w:hRule="atLeast"/>
        </w:trPr>
        <w:tc>
          <w:tcPr>
            <w:tcW w:type="dxa" w:w="170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Kellerspeicher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I#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BI#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I#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B#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#</w:t>
            </w:r>
          </w:p>
        </w:tc>
      </w:tr>
      <w:tr>
        <w:trPr>
          <w:cantSplit/>
          <w:tblHeader w:val="false"/>
          <w:trHeight w:val="425" w:hRule="atLeast"/>
        </w:trPr>
        <w:tc>
          <w:tcPr>
            <w:tcW w:type="dxa" w:w="170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Eingabezeichen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i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/b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/i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ε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/b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ε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Lösung d) – DEA (Fehlerzustand weggelassen)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2695575" cy="438150"/>
            <wp:effectExtent t="0" r="0" b="0" l="0"/>
            <wp:docPr id="1" name="boss_dea2.png" descr="Alle nicht eingezeichneten Übergänge führen in einen Fehlerzustand." title="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Alle nicht eingezeichneten Übergänge führen in einen Fehlerzustand.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Lösung f) – erweiterter Kellerautomat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962400" cy="2247900"/>
            <wp:effectExtent t="0" r="0" b="0" l="0"/>
            <wp:docPr id="1" name="html_ext.png" descr="Σ = {b, /b, i, /i, u, /u, br}, Γ = {#, B, I, U}. Alle nicht eingezeichneten Übergänge führen in einen Fehlerzustand." title="Σ = {b, /b, i, /i, u, /u, br}, Γ = {#, B, I, U}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Σ = {b, /b, i, /i, u, /u, br}, Γ = {#, B, I, U}. Alle nicht eingezeichneten Übergänge führen in einen Fehlerzustand.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Bewertung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Orientierung am üblichen Prozentschlüssel (15 Punkte ab 95 %, 5 Punkte ab 45 %); Mindestpunktzahl in BE, halbe BE möglich:</w:t>
      </w:r>
    </w:p>
    <w:tbl>
      <w:tblPr>
        <w:tblW w:type="dxa" w:w="9854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758"/>
        <w:gridCol w:w="758"/>
        <w:gridCol w:w="758"/>
        <w:gridCol w:w="758"/>
        <w:gridCol w:w="758"/>
        <w:gridCol w:w="758"/>
        <w:gridCol w:w="758"/>
        <w:gridCol w:w="758"/>
        <w:gridCol w:w="758"/>
        <w:gridCol w:w="758"/>
        <w:gridCol w:w="758"/>
        <w:gridCol w:w="758"/>
        <w:gridCol w:w="758"/>
      </w:tblGrid>
      <w:tr>
        <w:trPr>
          <w:cantSplit/>
          <w:tblHeader/>
        </w:trPr>
        <w:tc>
          <w:tcPr>
            <w:tcW w:type="dxa" w:w="75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Notenpunkte</w:t>
            </w:r>
          </w:p>
        </w:tc>
        <w:tc>
          <w:tcPr>
            <w:tcW w:type="dxa" w:w="75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15</w:t>
            </w:r>
          </w:p>
        </w:tc>
        <w:tc>
          <w:tcPr>
            <w:tcW w:type="dxa" w:w="75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14</w:t>
            </w:r>
          </w:p>
        </w:tc>
        <w:tc>
          <w:tcPr>
            <w:tcW w:type="dxa" w:w="75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13</w:t>
            </w:r>
          </w:p>
        </w:tc>
        <w:tc>
          <w:tcPr>
            <w:tcW w:type="dxa" w:w="75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12</w:t>
            </w:r>
          </w:p>
        </w:tc>
        <w:tc>
          <w:tcPr>
            <w:tcW w:type="dxa" w:w="75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11</w:t>
            </w:r>
          </w:p>
        </w:tc>
        <w:tc>
          <w:tcPr>
            <w:tcW w:type="dxa" w:w="75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10</w:t>
            </w:r>
          </w:p>
        </w:tc>
        <w:tc>
          <w:tcPr>
            <w:tcW w:type="dxa" w:w="75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9</w:t>
            </w:r>
          </w:p>
        </w:tc>
        <w:tc>
          <w:tcPr>
            <w:tcW w:type="dxa" w:w="75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8</w:t>
            </w:r>
          </w:p>
        </w:tc>
        <w:tc>
          <w:tcPr>
            <w:tcW w:type="dxa" w:w="75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7</w:t>
            </w:r>
          </w:p>
        </w:tc>
        <w:tc>
          <w:tcPr>
            <w:tcW w:type="dxa" w:w="75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6</w:t>
            </w:r>
          </w:p>
        </w:tc>
        <w:tc>
          <w:tcPr>
            <w:tcW w:type="dxa" w:w="75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5</w:t>
            </w:r>
          </w:p>
        </w:tc>
        <w:tc>
          <w:tcPr>
            <w:tcW w:type="dxa" w:w="75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75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7"/>
                <w:szCs w:val="17"/>
              </w:rPr>
              <w:t xml:space="preserve">ab BE</w:t>
            </w:r>
          </w:p>
        </w:tc>
        <w:tc>
          <w:tcPr>
            <w:tcW w:type="dxa" w:w="75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24</w:t>
            </w:r>
          </w:p>
        </w:tc>
        <w:tc>
          <w:tcPr>
            <w:tcW w:type="dxa" w:w="75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22,5</w:t>
            </w:r>
          </w:p>
        </w:tc>
        <w:tc>
          <w:tcPr>
            <w:tcW w:type="dxa" w:w="75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21,5</w:t>
            </w:r>
          </w:p>
        </w:tc>
        <w:tc>
          <w:tcPr>
            <w:tcW w:type="dxa" w:w="75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20</w:t>
            </w:r>
          </w:p>
        </w:tc>
        <w:tc>
          <w:tcPr>
            <w:tcW w:type="dxa" w:w="75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19</w:t>
            </w:r>
          </w:p>
        </w:tc>
        <w:tc>
          <w:tcPr>
            <w:tcW w:type="dxa" w:w="75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17,5</w:t>
            </w:r>
          </w:p>
        </w:tc>
        <w:tc>
          <w:tcPr>
            <w:tcW w:type="dxa" w:w="75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16,5</w:t>
            </w:r>
          </w:p>
        </w:tc>
        <w:tc>
          <w:tcPr>
            <w:tcW w:type="dxa" w:w="75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15</w:t>
            </w:r>
          </w:p>
        </w:tc>
        <w:tc>
          <w:tcPr>
            <w:tcW w:type="dxa" w:w="75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14</w:t>
            </w:r>
          </w:p>
        </w:tc>
        <w:tc>
          <w:tcPr>
            <w:tcW w:type="dxa" w:w="75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12,5</w:t>
            </w:r>
          </w:p>
        </w:tc>
        <w:tc>
          <w:tcPr>
            <w:tcW w:type="dxa" w:w="75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11,5</w:t>
            </w:r>
          </w:p>
        </w:tc>
        <w:tc>
          <w:tcPr>
            <w:tcW w:type="dxa" w:w="75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10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Nachtraining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a/c unsicher: Keller-Labor, Modus „Tabelle“ und „Rückwärts“. d/e unsicher: Merkblatt M05 und „Überliste den Automaten“. f unsicher: Merkblatt M07, Keller-Labor „Runde und eckige Klammern“.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Boss-Level B · Erwartungshorizont  ·  CC BY-SA 4.0 Frank Juchim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22968e7340dbcd9ec43f76f97996e02c2aaa384.png"/><Relationship Id="rId10" Type="http://schemas.openxmlformats.org/officeDocument/2006/relationships/image" Target="media/a0e51edf595aa60c0454104d3ac3249efe8f7bb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Boss-Level B: Erwartungshorizont</dc:title>
  <dc:creator>Frank Juchim</dc:creator>
  <dc:description>Informatik gA/eA – Automaten und formale Sprachen</dc:description>
  <cp:lastModifiedBy>Un-named</cp:lastModifiedBy>
  <cp:revision>1</cp:revision>
  <dcterms:created xsi:type="dcterms:W3CDTF">2026-10-14T16:08:14.001Z</dcterms:created>
  <dcterms:modified xsi:type="dcterms:W3CDTF">2026-10-14T16:08:14.001Z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