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Lehrkraft-Handreichung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4  ·  Welt A · Endliche Automaten  ·  Niveau: gA und eA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Modellierungswerkstatt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Reale Systeme als DEA modellieren, testen und gegenseitig prüfen (Bug-Bounty)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gA und eA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Wie modelliere ich reale Systeme als DEA – und wie teste ich, dass mein Modell stimmt?</w:t>
            </w:r>
          </w:p>
        </w:tc>
      </w:tr>
    </w:tbl>
    <w:p>
      <w:pPr>
        <w:spacing w:after="16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Überblick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814"/>
        <w:gridCol w:w="8051"/>
      </w:tblGrid>
      <w:tr>
        <w:trPr>
          <w:cantSplit/>
          <w:tblHeader/>
        </w:trPr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Aspekt</w:t>
            </w:r>
          </w:p>
        </w:tc>
        <w:tc>
          <w:tcPr>
            <w:tcW w:type="dxa" w:w="80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Lernziele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Die SuS modellieren reale Systeme als DEA (Σ festlegen, Zustände mit Bedeutung, Übergänge), setzen ihr Modell in der App-Sandbox bzw. auf flaci.com um, testen es systematisch und prüfen die Modelle anderer Gruppen mit Gegenbeispielen (Bug-Bounty).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KC-Bezug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K3 (Automaten als Zustandsgraphen entwickeln und implementieren), K4 (Funktion gegebener Automaten analysieren); PK1.5 (Modelle entwickeln), PK3.2 (Lösungen überprüfen und bewerten), PK3.4 (kooperativ arbeiten), IK3.4.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Modellieren im Sachkontext wie in allen Block-2-Aufgaben zu Automaten. Vertiefung: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 2022 eA Aufgabe C, Teile a und b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 (Trainerentlassung – Original mit Summenregel „insgesamt weniger als 3 Punkte“, Station E ist eine vereinfachte Variante),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 2021 Nachschreibtermin eA Aufgabe D, Teil 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 (RobProg: Syntax-Prüfung als DEA, ähnlich Station B),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 2024 eA Aufgabe B, Teil 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 (Graph vervollständigen). Die Kontexte A–D stammen aus der DEA-Aufgabensammlung (AB01 der Lehrkraft) und wurden an die Notation 2025 angepasst.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Material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Folien DS04, Stationsheft AB04 (Stationskarten, Dokumentation, Bug-Bounty-Protokoll, Fehlerkatalog), Merkblätter M01/M02, iPads mit AutomatenLab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4A3F"/>
                <w:sz w:val="19"/>
                <w:szCs w:val="19"/>
              </w:rPr>
              <w:t xml:space="preserve">#/baukasten?modus=frei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 (Sandbox) bzw. flaci.com; Selbstkontrolle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4A3F"/>
                <w:sz w:val="19"/>
                <w:szCs w:val="19"/>
              </w:rPr>
              <w:t xml:space="preserve">#/baukasten?aufgabe=pin-42x00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 und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4A3F"/>
                <w:sz w:val="19"/>
                <w:szCs w:val="19"/>
              </w:rPr>
              <w:t xml:space="preserve">#/baukasten?aufgabe=trainer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; A3-Papier für Plakate.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Vorbereitung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Stationsheft für alle kopieren; jede Stationskarte zusätzlich einmal auf A4 vergrößert an den Gruppentisch legen. Sechs Gruppen (3–4 SuS) nach Leistungsstand bilden (Station A für starke Gruppen, B/C für schwächere). Punktetabelle an der Tafel.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Verlaufsplan (90 Minuten)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907"/>
        <w:gridCol w:w="1474"/>
        <w:gridCol w:w="5670"/>
        <w:gridCol w:w="1814"/>
      </w:tblGrid>
      <w:tr>
        <w:trPr>
          <w:cantSplit/>
          <w:tblHeader/>
        </w:trPr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147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567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Unterrichtsgeschehen</w:t>
            </w:r>
          </w:p>
        </w:tc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Sozialform / Medien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0–5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Einstieg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Warm-up: Die HA-Challenges aus Level 3 tauschen (Sitznachbar löst die eigene Challenge des anderen). Überleitung: „Woran merkt man, dass ein Modell stimmt?“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PA, Folien 2–3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5–40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Phase 1: Modellieren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Expertengruppen an sechs Stationen: Σ festlegen, Graph entwickeln, in Sandbox/flaci umsetzen, Testprotokoll führen, Bedeutungen dokumentieren, Plakat erstellen. Lehrkraft gibt gestufte Tipps (siehe unten).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GA, Stationsheft, iPads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40–65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Phase 2: Bug-Bounty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Zwei Runden à ca. 11 min nach Rotationsplan. Ein Verteidiger bleibt an der Station, die anderen jagen Bugs und führen das Protokoll. Punkte werden an der Tafel gesammelt.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GA (rotierend), Protokoll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65–85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Phase 3: Korrektur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Bugs reparieren (10 min), dann Kurzpräsentationen à 2 min: Σ, Graph, Bedeutung der Zustände, schwierigster Testfall. Siegerehrung.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GA, Präsentation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85–90</w:t>
            </w:r>
          </w:p>
        </w:tc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Sicherung</w:t>
            </w:r>
          </w:p>
        </w:tc>
        <w:tc>
          <w:tcPr>
            <w:tcW w:type="dxa" w:w="567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Fehlerkatalog „Typische Modellierungsfehler“ gemeinsam füllen (Folie 15). HA erteilen.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Stationsheft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Organisation der Bug-Bounty</w:t>
      </w:r>
    </w:p>
    <w:tbl>
      <w:tblPr>
        <w:tblW w:type="dxa" w:w="9809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495"/>
        <w:gridCol w:w="1219"/>
        <w:gridCol w:w="1219"/>
        <w:gridCol w:w="1219"/>
        <w:gridCol w:w="1219"/>
        <w:gridCol w:w="1219"/>
        <w:gridCol w:w="1219"/>
      </w:tblGrid>
      <w:tr>
        <w:trPr>
          <w:cantSplit/>
          <w:tblHeader/>
        </w:trPr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Gruppe von Station</w:t>
            </w:r>
          </w:p>
        </w:tc>
        <w:tc>
          <w:tcPr>
            <w:tcW w:type="dxa" w:w="121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</w:t>
            </w:r>
          </w:p>
        </w:tc>
        <w:tc>
          <w:tcPr>
            <w:tcW w:type="dxa" w:w="121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</w:t>
            </w:r>
          </w:p>
        </w:tc>
        <w:tc>
          <w:tcPr>
            <w:tcW w:type="dxa" w:w="121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</w:t>
            </w:r>
          </w:p>
        </w:tc>
        <w:tc>
          <w:tcPr>
            <w:tcW w:type="dxa" w:w="121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</w:t>
            </w:r>
          </w:p>
        </w:tc>
        <w:tc>
          <w:tcPr>
            <w:tcW w:type="dxa" w:w="121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</w:t>
            </w:r>
          </w:p>
        </w:tc>
        <w:tc>
          <w:tcPr>
            <w:tcW w:type="dxa" w:w="121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</w:t>
            </w:r>
          </w:p>
        </w:tc>
      </w:tr>
      <w:tr>
        <w:trPr>
          <w:cantSplit/>
          <w:tblHeader w:val="false"/>
        </w:trPr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Runde 1 besucht</w:t>
            </w:r>
          </w:p>
        </w:tc>
        <w:tc>
          <w:tcPr>
            <w:tcW w:type="dxa" w:w="121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</w:t>
            </w:r>
          </w:p>
        </w:tc>
        <w:tc>
          <w:tcPr>
            <w:tcW w:type="dxa" w:w="121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</w:t>
            </w:r>
          </w:p>
        </w:tc>
        <w:tc>
          <w:tcPr>
            <w:tcW w:type="dxa" w:w="121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D</w:t>
            </w:r>
          </w:p>
        </w:tc>
        <w:tc>
          <w:tcPr>
            <w:tcW w:type="dxa" w:w="121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</w:t>
            </w:r>
          </w:p>
        </w:tc>
        <w:tc>
          <w:tcPr>
            <w:tcW w:type="dxa" w:w="121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</w:t>
            </w:r>
          </w:p>
        </w:tc>
        <w:tc>
          <w:tcPr>
            <w:tcW w:type="dxa" w:w="121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Runde 2 besucht</w:t>
            </w:r>
          </w:p>
        </w:tc>
        <w:tc>
          <w:tcPr>
            <w:tcW w:type="dxa" w:w="121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D</w:t>
            </w:r>
          </w:p>
        </w:tc>
        <w:tc>
          <w:tcPr>
            <w:tcW w:type="dxa" w:w="121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E</w:t>
            </w:r>
          </w:p>
        </w:tc>
        <w:tc>
          <w:tcPr>
            <w:tcW w:type="dxa" w:w="121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F</w:t>
            </w:r>
          </w:p>
        </w:tc>
        <w:tc>
          <w:tcPr>
            <w:tcW w:type="dxa" w:w="121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121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</w:t>
            </w:r>
          </w:p>
        </w:tc>
        <w:tc>
          <w:tcPr>
            <w:tcW w:type="dxa" w:w="121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7031"/>
        <w:gridCol w:w="2835"/>
      </w:tblGrid>
      <w:tr>
        <w:trPr>
          <w:cantSplit/>
          <w:tblHeader/>
        </w:trPr>
        <w:tc>
          <w:tcPr>
            <w:tcW w:type="dxa" w:w="703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Ereignis</w:t>
            </w:r>
          </w:p>
        </w:tc>
        <w:tc>
          <w:tcPr>
            <w:tcW w:type="dxa" w:w="283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Punkte</w:t>
            </w:r>
          </w:p>
        </w:tc>
      </w:tr>
      <w:tr>
        <w:trPr>
          <w:cantSplit/>
          <w:tblHeader w:val="false"/>
        </w:trPr>
        <w:tc>
          <w:tcPr>
            <w:tcW w:type="dxa" w:w="703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Bestätigter Bug (Testwort, bei dem der Automat falsch entscheidet)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+3 für die Finder</w:t>
            </w:r>
          </w:p>
        </w:tc>
      </w:tr>
      <w:tr>
        <w:trPr>
          <w:cantSplit/>
          <w:tblHeader w:val="false"/>
        </w:trPr>
        <w:tc>
          <w:tcPr>
            <w:tcW w:type="dxa" w:w="703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Formfehler (Hinweis zum Fehlerzustand fehlt, Nichtdeterminismus, Bedeutung fehlt)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+1 für die Finder</w:t>
            </w:r>
          </w:p>
        </w:tc>
      </w:tr>
      <w:tr>
        <w:trPr>
          <w:cantSplit/>
          <w:tblHeader w:val="false"/>
        </w:trPr>
        <w:tc>
          <w:tcPr>
            <w:tcW w:type="dxa" w:w="703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Station übersteht beide Runden ohne Bug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+5 für die Gastgeber</w:t>
            </w:r>
          </w:p>
        </w:tc>
      </w:tr>
      <w:tr>
        <w:trPr>
          <w:cantSplit/>
          <w:tblHeader w:val="false"/>
        </w:trPr>
        <w:tc>
          <w:tcPr>
            <w:tcW w:type="dxa" w:w="703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Bug in Phase 3 repariert und vorgeführt</w:t>
            </w:r>
          </w:p>
        </w:tc>
        <w:tc>
          <w:tcPr>
            <w:tcW w:type="dxa" w:w="283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+1 für die Gastgeber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Hinweise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Der Verteidiger entscheidet nicht über die Regel, sondern prüft nur das Verhalten des Automaten. Strittige Fälle (Regel unklar?) entscheidet die Lehrkraft anhand der Stationskarte.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Gute Bug-Jäger testen Grenzfälle: ε, sehr kurze Wörter, Überlappungen (Station A: </w:t>
            </w:r>
            <w:r>
              <w:rPr>
                <w:rFonts w:ascii="Consolas" w:cs="Consolas" w:eastAsia="Consolas" w:hAnsi="Consolas"/>
                <w:color w:val="0A4A3F"/>
                <w:sz w:val="19"/>
                <w:szCs w:val="19"/>
              </w:rPr>
              <w:t xml:space="preserve">4242400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muss akzeptiert werden), Zeichen nach dem Ende (Station B: </w:t>
            </w:r>
            <w:r>
              <w:rPr>
                <w:rFonts w:ascii="Consolas" w:cs="Consolas" w:eastAsia="Consolas" w:hAnsi="Consolas"/>
                <w:color w:val="0A4A3F"/>
                <w:sz w:val="19"/>
                <w:szCs w:val="19"/>
              </w:rPr>
              <w:t xml:space="preserve">…@XBPxxx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), verbotene Fahrten (Station D: </w:t>
            </w:r>
            <w:r>
              <w:rPr>
                <w:rFonts w:ascii="Consolas" w:cs="Consolas" w:eastAsia="Consolas" w:hAnsi="Consolas"/>
                <w:color w:val="0A4A3F"/>
                <w:sz w:val="19"/>
                <w:szCs w:val="19"/>
              </w:rPr>
              <w:t xml:space="preserve">wmz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).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Gestufte Tipps in Phase 1: (1) Hinweis aus der Stationskarte, (2) Bedeutung der ersten zwei Zustände vorgeben, (3) Musterlösung ohne Beschriftungen zeigen.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Musterlösungen der Stationen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Alle Automaten wurden gegen die Regel der Stationskarte für sämtliche Wörter bis zur angegebenen Länge geprüft (Python, automata.py). Gleichwertige Lösungen mit anderer Zustandsnummerierung sind selbstverständlich richtig.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Station A – PIN-Eingabe 42x00</w:t>
      </w:r>
    </w:p>
    <w:p>
      <w:pPr>
        <w:keepNext w:val="false"/>
        <w:spacing w:after="120" w:before="60"/>
        <w:jc w:val="center"/>
      </w:pPr>
      <w:r>
        <w:drawing>
          <wp:inline distT="0" distB="0" distL="0" distR="0">
            <wp:extent cx="4143375" cy="3676650"/>
            <wp:effectExtent t="0" r="0" b="0" l="0"/>
            <wp:docPr id="1" name="pin.png" descr="Abbildung" title="Abbild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33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Überlappung: S0 –4→ S1 –2→ S2 –4→ S4 –2→ S2 –4→ S4 –0→ S5 –0→ S6  ⇒  akzeptiert.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Vollständiger DEA mit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7 Zuständen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(kein Fehlerzustand nötig: Jede Eingabe kann noch zu einer gültigen werden). Er entsteht am einfachsten über einen NEA („rate, wo 42 beginnt“) und Teilmengenkonstruktion – das ist Stoff von Level 8; hier genügt systematisches Überlegen „was passt am Ende vom Muster?“.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247"/>
        <w:gridCol w:w="8618"/>
      </w:tblGrid>
      <w:tr>
        <w:trPr>
          <w:cantSplit/>
          <w:tblHeader/>
        </w:trPr>
        <w:tc>
          <w:tcPr>
            <w:tcW w:type="dxa" w:w="124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Zustand</w:t>
            </w:r>
          </w:p>
        </w:tc>
        <w:tc>
          <w:tcPr>
            <w:tcW w:type="dxa" w:w="861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Bedeutung</w:t>
            </w:r>
          </w:p>
        </w:tc>
      </w:tr>
      <w:tr>
        <w:trPr>
          <w:cantSplit/>
          <w:tblHeader w:val="false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86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kein Anfang des Musters am Ende</w:t>
            </w:r>
          </w:p>
        </w:tc>
      </w:tr>
      <w:tr>
        <w:trPr>
          <w:cantSplit/>
          <w:tblHeader w:val="false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86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zuletzt gelesen: „4“</w:t>
            </w:r>
          </w:p>
        </w:tc>
      </w:tr>
      <w:tr>
        <w:trPr>
          <w:cantSplit/>
          <w:tblHeader w:val="false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86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zuletzt gelesen: „42“</w:t>
            </w:r>
          </w:p>
        </w:tc>
      </w:tr>
      <w:tr>
        <w:trPr>
          <w:cantSplit/>
          <w:tblHeader w:val="false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S3</w:t>
            </w:r>
          </w:p>
        </w:tc>
        <w:tc>
          <w:tcPr>
            <w:tcW w:type="dxa" w:w="86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zuletzt gelesen: „42x“</w:t>
            </w:r>
          </w:p>
        </w:tc>
      </w:tr>
      <w:tr>
        <w:trPr>
          <w:cantSplit/>
          <w:tblHeader w:val="false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S4</w:t>
            </w:r>
          </w:p>
        </w:tc>
        <w:tc>
          <w:tcPr>
            <w:tcW w:type="dxa" w:w="86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zuletzt gelesen: „4“ und zugleich „42x“</w:t>
            </w:r>
          </w:p>
        </w:tc>
      </w:tr>
      <w:tr>
        <w:trPr>
          <w:cantSplit/>
          <w:tblHeader w:val="false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S5</w:t>
            </w:r>
          </w:p>
        </w:tc>
        <w:tc>
          <w:tcPr>
            <w:tcW w:type="dxa" w:w="86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zuletzt gelesen: „42x0“</w:t>
            </w:r>
          </w:p>
        </w:tc>
      </w:tr>
      <w:tr>
        <w:trPr>
          <w:cantSplit/>
          <w:tblHeader w:val="false"/>
        </w:trPr>
        <w:tc>
          <w:tcPr>
            <w:tcW w:type="dxa" w:w="124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S6</w:t>
            </w:r>
          </w:p>
        </w:tc>
        <w:tc>
          <w:tcPr>
            <w:tcW w:type="dxa" w:w="861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zuletzt gelesen: „42x00“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Testwörter der Stationskarte (Simulation der Musterlösung): akzeptiert 42000 · 42400 · 442200 · 4242400; abgelehnt 4200 · 420000 · 42020 · 424200.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Station B – XMail-Adresse</w:t>
      </w:r>
    </w:p>
    <w:p>
      <w:pPr>
        <w:keepNext w:val="false"/>
        <w:spacing w:after="120" w:before="60"/>
        <w:jc w:val="center"/>
      </w:pPr>
      <w:r>
        <w:drawing>
          <wp:inline distT="0" distB="0" distL="0" distR="0">
            <wp:extent cx="4676775" cy="1905000"/>
            <wp:effectExtent t="0" r="0" b="0" l="0"/>
            <wp:docPr id="1" name="xmail.png" descr="Abbildung" title="Abbild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Alle nicht eingezeichneten Übergänge führen in einen Fehlerzustand. S2 und S5: Ab dem zweiten Buchstaben dürfen beliebig viele weitere folgen (Schleife). S6–S11 prüfen die feste Domain. Ein S (Sonderzeichen) führt immer in den Fehlerzustand.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474"/>
        <w:gridCol w:w="8392"/>
      </w:tblGrid>
      <w:tr>
        <w:trPr>
          <w:cantSplit/>
          <w:tblHeader/>
        </w:trPr>
        <w:tc>
          <w:tcPr>
            <w:tcW w:type="dxa" w:w="147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Testwort</w:t>
            </w:r>
          </w:p>
        </w:tc>
        <w:tc>
          <w:tcPr>
            <w:tcW w:type="dxa" w:w="839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Verarbeitung durch die Musterlösung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aaPaaa@XBPxx</w:t>
            </w:r>
          </w:p>
        </w:tc>
        <w:tc>
          <w:tcPr>
            <w:tcW w:type="dxa" w:w="839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–a→ S1 –a→ S2 –P→ S3 –a→ S4 –a→ S5 –a→ S5 –@→ S6 –X→ S7 –B→ S8 –P→ S9 –x→ S10 –x→ S11  ⇒  akzeptiert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aPaa@XBPxx</w:t>
            </w:r>
          </w:p>
        </w:tc>
        <w:tc>
          <w:tcPr>
            <w:tcW w:type="dxa" w:w="839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–a→ S1 –P→ Fehlerzustand  ⇒  abgelehnt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aaPaa@XBPx</w:t>
            </w:r>
          </w:p>
        </w:tc>
        <w:tc>
          <w:tcPr>
            <w:tcW w:type="dxa" w:w="839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–a→ S1 –a→ S2 –P→ S3 –a→ S4 –a→ S5 –@→ S6 –X→ S7 –B→ S8 –P→ S9 –x→ S10  ⇒  abgelehnt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Zusatz: Zum Erzeugen der Adresse aus „Vorname Nachname“ braucht man einen Automaten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mit Ausgabe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(Mealy-Automat, Level 6): Leerzeichen → Ausgabe „.“, Großbuchstaben → Kleinbuchstaben, am Ende Ausgabe „@XB.xx“.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Station C – Smiley-Erkenner</w:t>
      </w:r>
    </w:p>
    <w:p>
      <w:pPr>
        <w:keepNext w:val="false"/>
        <w:spacing w:after="120" w:before="60"/>
        <w:jc w:val="center"/>
      </w:pPr>
      <w:r>
        <w:drawing>
          <wp:inline distT="0" distB="0" distL="0" distR="0">
            <wp:extent cx="3600450" cy="676275"/>
            <wp:effectExtent t="0" r="0" b="0" l="0"/>
            <wp:docPr id="1" name="smiley.png" descr="Abbildung" title="Abbild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67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Alle nicht eingezeichneten Übergänge führen in einen Fehlerzustand. Erkannt werden 12 Smileys: :(  ·  :)  ·  :-(  ·  :-)  ·  :-D  ·  :D  ·  ;(  ·  ;)  ·  ;-(  ·  ;-)  ·  ;-D  ·  ;D. S1 und S2 sind nicht zusammenfassbar: Aus S1 ist eine Nase noch erlaubt, aus S2 nicht (Wort „:--)“).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Station D – Mann, Wolf, Ziege, Kohlkopf</w:t>
      </w:r>
    </w:p>
    <w:p>
      <w:pPr>
        <w:keepNext w:val="false"/>
        <w:spacing w:after="120" w:before="60"/>
        <w:jc w:val="center"/>
      </w:pPr>
      <w:r>
        <w:drawing>
          <wp:inline distT="0" distB="0" distL="0" distR="0">
            <wp:extent cx="6124575" cy="1628775"/>
            <wp:effectExtent t="0" r="0" b="0" l="0"/>
            <wp:docPr id="1" name="mwzk.png" descr="Abbildung" title="Abbild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Alle nicht eingezeichneten Übergänge führen in einen Fehlerzustand. Zustand = Belegung „linkes Ufer | rechtes Ufer“. Es gibt 10 sichere, erreichbare Belegungen. Die kürzesten Lösungen haben 7 Fahrten: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zmkzwmz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und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zmwzkmz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. Beispiel: S0 –z→ S1 –m→ S2 –k→ S4 –z→ S6 –w→ S7 –m→ S8 –z→ S9  ⇒  akzeptiert.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Station E – Trainerentlassung</w:t>
      </w:r>
    </w:p>
    <w:p>
      <w:pPr>
        <w:keepNext w:val="false"/>
        <w:spacing w:after="120" w:before="60"/>
        <w:jc w:val="center"/>
      </w:pPr>
      <w:r>
        <w:drawing>
          <wp:inline distT="0" distB="0" distL="0" distR="0">
            <wp:extent cx="3962400" cy="1114425"/>
            <wp:effectExtent t="0" r="0" b="0" l="0"/>
            <wp:docPr id="1" name="trainer.png" descr="Abbildung" title="Abbild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Bedeutung: S0 – letztes Spiel gewonnen (oder noch kein Spiel); S1 bzw. S2 – die letzten ein bzw. zwei Spiele ohne Sieg; S3 – Trainer entlassen (bleibt so).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474"/>
        <w:gridCol w:w="8392"/>
      </w:tblGrid>
      <w:tr>
        <w:trPr>
          <w:cantSplit/>
          <w:tblHeader/>
        </w:trPr>
        <w:tc>
          <w:tcPr>
            <w:tcW w:type="dxa" w:w="147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Testwort</w:t>
            </w:r>
          </w:p>
        </w:tc>
        <w:tc>
          <w:tcPr>
            <w:tcW w:type="dxa" w:w="839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Verarbeitung durch die Musterlösung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3101</w:t>
            </w:r>
          </w:p>
        </w:tc>
        <w:tc>
          <w:tcPr>
            <w:tcW w:type="dxa" w:w="839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–3→ S0 –1→ S1 –0→ S2 –1→ S3  ⇒  akzeptiert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1031033</w:t>
            </w:r>
          </w:p>
        </w:tc>
        <w:tc>
          <w:tcPr>
            <w:tcW w:type="dxa" w:w="839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–1→ S1 –0→ S2 –3→ S0 –1→ S1 –0→ S2 –3→ S0 –3→ S0  ⇒  abgelehnt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10033013</w:t>
            </w:r>
          </w:p>
        </w:tc>
        <w:tc>
          <w:tcPr>
            <w:tcW w:type="dxa" w:w="839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–1→ S1 –0→ S2 –0→ S3 –3→ S3 –3→ S3 –0→ S3 –1→ S3 –3→ S3  ⇒  akzeptiert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Zusatz: Nach „30“ ist der Automat in S1 (ein Spiel ohne Sieg), nach „03“ in S0. Fortsetzung „00“: S0 –3→ S0 –0→ S1 –0→ S2 –0→ S3  ⇒  akzeptiert; S0 –0→ S1 –3→ S0 –0→ S1 –0→ S2  ⇒  abgelehnt. Im Original (Abi 2022 eA C b) gilt die strengere Summenregel „insgesamt weniger als 3 Punkte“; dort muss sich der Automat die letzten zwei Ergebnisse genauer merken (minimaler DEA mit 6 Zuständen) – gute Vertiefung für starke Gruppen.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Station F – Fahrstuhl-Testprotokoll</w:t>
      </w:r>
    </w:p>
    <w:p>
      <w:pPr>
        <w:keepNext w:val="false"/>
        <w:spacing w:after="120" w:before="60"/>
        <w:jc w:val="center"/>
      </w:pPr>
      <w:r>
        <w:drawing>
          <wp:inline distT="0" distB="0" distL="0" distR="0">
            <wp:extent cx="3600450" cy="1990725"/>
            <wp:effectExtent t="0" r="0" b="0" l="0"/>
            <wp:docPr id="1" name="fahrstuhl.png" descr="Abbildung" title="Abbild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450" cy="1990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Alle nicht eingezeichneten Übergänge führen in einen Fehlerzustand. Zustand = Paar (Etage, Tür): S0 = (EG, offen), S1 = (EG, zu), S2 = (1. OG, zu), S3 = (1. OG, offen), S4 = (2. OG, zu), S5 = (2. OG, offen). S0 ist Start- und Endzustand, deshalb wird auch das leere Protokoll ε akzeptiert.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474"/>
        <w:gridCol w:w="8392"/>
      </w:tblGrid>
      <w:tr>
        <w:trPr>
          <w:cantSplit/>
          <w:tblHeader/>
        </w:trPr>
        <w:tc>
          <w:tcPr>
            <w:tcW w:type="dxa" w:w="147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Testwort</w:t>
            </w:r>
          </w:p>
        </w:tc>
        <w:tc>
          <w:tcPr>
            <w:tcW w:type="dxa" w:w="839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Verarbeitung durch die Musterlösung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shro</w:t>
            </w:r>
          </w:p>
        </w:tc>
        <w:tc>
          <w:tcPr>
            <w:tcW w:type="dxa" w:w="839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–s→ S1 –h→ S2 –r→ S1 –o→ S0  ⇒  akzeptiert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shhosrro</w:t>
            </w:r>
          </w:p>
        </w:tc>
        <w:tc>
          <w:tcPr>
            <w:tcW w:type="dxa" w:w="839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–s→ S1 –h→ S2 –h→ S4 –o→ S5 –s→ S4 –r→ S2 –r→ S1 –o→ S0  ⇒  akzeptiert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shhosro</w:t>
            </w:r>
          </w:p>
        </w:tc>
        <w:tc>
          <w:tcPr>
            <w:tcW w:type="dxa" w:w="839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–s→ S1 –h→ S2 –h→ S4 –o→ S5 –s→ S4 –r→ S2 –o→ S3  ⇒  abgelehnt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shsh</w:t>
            </w:r>
          </w:p>
        </w:tc>
        <w:tc>
          <w:tcPr>
            <w:tcW w:type="dxa" w:w="839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 –s→ S1 –h→ S2 –s→ Fehlerzustand  ⇒  abgelehnt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Erwartungshorizont Fehlerkatalog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041"/>
        <w:gridCol w:w="4423"/>
        <w:gridCol w:w="3402"/>
      </w:tblGrid>
      <w:tr>
        <w:trPr>
          <w:cantSplit/>
          <w:tblHeader/>
        </w:trPr>
        <w:tc>
          <w:tcPr>
            <w:tcW w:type="dxa" w:w="204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Fehlertyp</w:t>
            </w:r>
          </w:p>
        </w:tc>
        <w:tc>
          <w:tcPr>
            <w:tcW w:type="dxa" w:w="442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typisches Beispiel</w:t>
            </w:r>
          </w:p>
        </w:tc>
        <w:tc>
          <w:tcPr>
            <w:tcW w:type="dxa" w:w="340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Gegenmittel</w:t>
            </w:r>
          </w:p>
        </w:tc>
      </w:tr>
      <w:tr>
        <w:trPr>
          <w:cantSplit/>
          <w:tblHeader w:val="false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Neuanfang vergessen</w:t>
            </w:r>
          </w:p>
        </w:tc>
        <w:tc>
          <w:tcPr>
            <w:tcW w:type="dxa" w:w="442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Station A: nach „424“ zurück nach S0 – dann wird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A4A3F"/>
                <w:sz w:val="17"/>
                <w:szCs w:val="17"/>
              </w:rPr>
              <w:t xml:space="preserve">4242400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 fälschlich abgelehnt.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Fragen: „Was passt am Ende gerade vom Muster?“</w:t>
            </w:r>
          </w:p>
        </w:tc>
      </w:tr>
      <w:tr>
        <w:trPr>
          <w:cantSplit/>
          <w:tblHeader w:val="false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Unvollständig ohne Hinweis</w:t>
            </w:r>
          </w:p>
        </w:tc>
        <w:tc>
          <w:tcPr>
            <w:tcW w:type="dxa" w:w="442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Station B/C/D: Fehlerzustand fehlt, kein Hinweis.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Hinweissatz immer unter den Graphen schreiben.</w:t>
            </w:r>
          </w:p>
        </w:tc>
      </w:tr>
      <w:tr>
        <w:trPr>
          <w:cantSplit/>
          <w:tblHeader w:val="false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Endzustand / ε falsch</w:t>
            </w:r>
          </w:p>
        </w:tc>
        <w:tc>
          <w:tcPr>
            <w:tcW w:type="dxa" w:w="442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Station F: S0 nicht als Endzustand markiert.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ε und kürzeste Wörter zuerst testen.</w:t>
            </w:r>
          </w:p>
        </w:tc>
      </w:tr>
      <w:tr>
        <w:trPr>
          <w:cantSplit/>
          <w:tblHeader w:val="false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Nichtdeterminismus</w:t>
            </w:r>
          </w:p>
        </w:tc>
        <w:tc>
          <w:tcPr>
            <w:tcW w:type="dxa" w:w="442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Station C: zwei Pfeile mit „)“ aus S1.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Pro Zustand Tabelle Zeichen → Folgezustand anlegen.</w:t>
            </w:r>
          </w:p>
        </w:tc>
      </w:tr>
      <w:tr>
        <w:trPr>
          <w:cantSplit/>
          <w:tblHeader w:val="false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Doppelte/unklare Zustände</w:t>
            </w:r>
          </w:p>
        </w:tc>
        <w:tc>
          <w:tcPr>
            <w:tcW w:type="dxa" w:w="442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Station E: getrennte Zustände für „0“ und „1“ nach einem Sieg.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Bedeutung jedes Zustands aufschreiben; gleiche Bedeutung ⇒ ein Zustand.</w:t>
            </w:r>
          </w:p>
        </w:tc>
      </w:tr>
      <w:tr>
        <w:trPr>
          <w:cantSplit/>
          <w:tblHeader w:val="false"/>
        </w:trPr>
        <w:tc>
          <w:tcPr>
            <w:tcW w:type="dxa" w:w="204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8"/>
                <w:szCs w:val="18"/>
              </w:rPr>
              <w:t xml:space="preserve">Zeichen außerhalb von Σ</w:t>
            </w:r>
          </w:p>
        </w:tc>
        <w:tc>
          <w:tcPr>
            <w:tcW w:type="dxa" w:w="442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Station B: Ziffern direkt statt S.</w:t>
            </w:r>
          </w:p>
        </w:tc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8"/>
                <w:szCs w:val="18"/>
              </w:rPr>
              <w:t xml:space="preserve">Σ vor dem Zeichnen festlegen und erklären.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Differenzierung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Basis: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Stationen B und C; Tipp-Stufen nutzen.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Standard: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Stationen D, E, F; Zusatzaufgaben auf den Karten.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Profi: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Station A (Selbstkontrolle über die Baukasten-Challenge), anschließend E mit der Original-Summenregel.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Hausaufgabe: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Die eigene Station sauber dokumentieren (Σ mit Erklärung, vollständiger Graph bzw. Hinweis, Bedeutung jedes Zustands, Testprotokoll) – Vorlage „Dokumentation unserer Station“ im Stationsheft. Die Plakate können bis DS05 im Raum hängen bleiben.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DS04 · Lehrkraft-Handreichung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gA und eA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34ff2451ea6d294c61bb43c5f1e4c40d65dd30e.png"/><Relationship Id="rId10" Type="http://schemas.openxmlformats.org/officeDocument/2006/relationships/image" Target="media/01f57aa352960ffea89dd9a37e3d68d9102b2b30.png"/><Relationship Id="rId11" Type="http://schemas.openxmlformats.org/officeDocument/2006/relationships/image" Target="media/8d2388958edd39e7b45e3d26a1e938a6abef5b75.png"/><Relationship Id="rId12" Type="http://schemas.openxmlformats.org/officeDocument/2006/relationships/image" Target="media/da4f856bb6eaa2c38e2efc06fc3cc3892acdcc3a.png"/><Relationship Id="rId13" Type="http://schemas.openxmlformats.org/officeDocument/2006/relationships/image" Target="media/374cb052f792400f042f6bd09d79a75ac5ff9dda.png"/><Relationship Id="rId14" Type="http://schemas.openxmlformats.org/officeDocument/2006/relationships/image" Target="media/5c72de73c24ce1d9787870eb373ccb8d89e8fc3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Modellierungswerkstatt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2026-10-14T16:07:59.136Z</dcterms:created>
  <dcterms:modified xsi:type="dcterms:W3CDTF">2026-10-14T16:07:59.136Z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