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14  ·  Welt C · Formale Sprachen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Die Landkarte der Sprachen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Chomsky-Hierarchie, Begriffsnetz und Abi-Trainingszirkel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Welche Maschine braucht man für welche Sprache – und wie hängt alles zusammen?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Level 14 ist der Blick von oben: DEA, NEA, Mealy, Kellerautomat, reguläre und kontextfreie Grammatiken – wie passt das alles zusammen? Die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Chomsky-Hierarchie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ordnet Sprachen nach der Maschine, die man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mindestens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braucht.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Die Chomsky-Hierarchie</w:t>
            </w:r>
          </w:p>
          <w:tbl>
            <w:tblPr>
              <w:tblW w:type="dxa" w:w="941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067"/>
              <w:gridCol w:w="3345"/>
            </w:tblGrid>
            <w:tr>
              <w:trPr>
                <w:cantSplit/>
              </w:trPr>
              <w:tc>
                <w:tcPr>
                  <w:tcW w:type="dxa" w:w="606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tbl>
                  <w:tblPr>
                    <w:tblW w:type="dxa" w:w="5955"/>
                    <w:tblBorders>
                      <w:top w:val="single" w:color="C9D3D6" w:sz="4"/>
                      <w:left w:val="single" w:color="C9D3D6" w:sz="4"/>
                      <w:bottom w:val="single" w:color="C9D3D6" w:sz="4"/>
                      <w:right w:val="single" w:color="C9D3D6" w:sz="4"/>
                      <w:insideH w:val="single" w:color="C9D3D6" w:sz="4"/>
                      <w:insideV w:val="single" w:color="C9D3D6" w:sz="4"/>
                    </w:tblBorders>
                    <w:tblLayout w:type="fixed"/>
                  </w:tblPr>
                  <w:tblGrid>
                    <w:gridCol w:w="624"/>
                    <w:gridCol w:w="1418"/>
                    <w:gridCol w:w="1985"/>
                    <w:gridCol w:w="192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624"/>
                        <w:shd w:fill="0E6455" w:color="auto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 xml:space="preserve">Typ</w:t>
                        </w:r>
                      </w:p>
                    </w:tc>
                    <w:tc>
                      <w:tcPr>
                        <w:tcW w:type="dxa" w:w="1418"/>
                        <w:shd w:fill="0E6455" w:color="auto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 xml:space="preserve">Sprachklasse</w:t>
                        </w:r>
                      </w:p>
                    </w:tc>
                    <w:tc>
                      <w:tcPr>
                        <w:tcW w:type="dxa" w:w="1985"/>
                        <w:shd w:fill="0E6455" w:color="auto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 xml:space="preserve">Grammatik</w:t>
                        </w:r>
                      </w:p>
                    </w:tc>
                    <w:tc>
                      <w:tcPr>
                        <w:tcW w:type="dxa" w:w="1928"/>
                        <w:shd w:fill="0E6455" w:color="auto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 xml:space="preserve">Maschine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62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141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regulär</w:t>
                        </w:r>
                      </w:p>
                    </w:tc>
                    <w:tc>
                      <w:tcPr>
                        <w:tcW w:type="dxa" w:w="1985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rechtsregulär: A → aB | a | ε</w:t>
                        </w:r>
                      </w:p>
                    </w:tc>
                    <w:tc>
                      <w:tcPr>
                        <w:tcW w:type="dxa" w:w="192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DEA / NEA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62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141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kontextfrei</w:t>
                        </w:r>
                      </w:p>
                    </w:tc>
                    <w:tc>
                      <w:tcPr>
                        <w:tcW w:type="dxa" w:w="1985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kontextfrei: A → w</w:t>
                        </w:r>
                      </w:p>
                    </w:tc>
                    <w:tc>
                      <w:tcPr>
                        <w:tcW w:type="dxa" w:w="192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Kellerautomat (NKA)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62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1 / 0</w:t>
                        </w:r>
                      </w:p>
                    </w:tc>
                    <w:tc>
                      <w:tcPr>
                        <w:tcW w:type="dxa" w:w="141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kontextsensitiv / rekursiv aufzählbar</w:t>
                        </w:r>
                      </w:p>
                    </w:tc>
                    <w:tc>
                      <w:tcPr>
                        <w:tcW w:type="dxa" w:w="1985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allgemeinere Regeln (Ausblick)</w:t>
                        </w:r>
                      </w:p>
                    </w:tc>
                    <w:tc>
                      <w:tcPr>
                        <w:tcW w:type="dxa" w:w="192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linear beschränkter Automat / Turingmaschine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3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</w:tcPr>
                <w:p>
                  <w:pPr>
                    <w:keepNext w:val="false"/>
                    <w:spacing w:after="120" w:before="60"/>
                    <w:jc w:val="center"/>
                  </w:pPr>
                  <w:r>
                    <w:drawing>
                      <wp:inline distT="0" distB="0" distL="0" distR="0">
                        <wp:extent cx="1943100" cy="1476375"/>
                        <wp:effectExtent t="0" r="0" b="0" l="0"/>
                        <wp:docPr id="1" name="chomsky.png" descr="Abbildung" title="Abbildu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43100" cy="1476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Die Klassen sind ineinander enthalten (Typ 3 ⊂ Typ 2 ⊂ Typ 1 ⊂ Typ 0).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Wähle immer die speziellste passende Grammatik bzw. Maschine: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Ist eine Sprache regulär, gibst du eine rechtsreguläre Grammatik oder einen DEA an – keinen Kellerautomaten.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Nach dem Chomsky-Sortierer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Ordne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jede Sprache der möglichst speziellen Klasse zu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Stichworten („Begründungs-Joker“).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402"/>
        <w:gridCol w:w="737"/>
        <w:gridCol w:w="1814"/>
        <w:gridCol w:w="3912"/>
      </w:tblGrid>
      <w:tr>
        <w:trPr>
          <w:cantSplit/>
          <w:tblHeader/>
          <w:trHeight w:val="680" w:hRule="atLeast"/>
        </w:trPr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Sprache</w:t>
            </w:r>
          </w:p>
        </w:tc>
        <w:tc>
          <w:tcPr>
            <w:tcW w:type="dxa" w:w="73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Maschine</w:t>
            </w:r>
          </w:p>
        </w:tc>
        <w:tc>
          <w:tcPr>
            <w:tcW w:type="dxa" w:w="391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Begründung</w:t>
            </w:r>
          </w:p>
        </w:tc>
      </w:tr>
      <w:tr>
        <w:trPr>
          <w:cantSplit/>
          <w:tblHeader w:val="false"/>
          <w:trHeight w:val="680" w:hRule="atLeast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Wörter über {a, b} mit höchstens drei b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80" w:hRule="atLeast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Programme aus beliebig tief verschachtelten begin … end-Blöcken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80" w:hRule="atLeast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aⁿbⁿ mit 1 ≤ n ≤ 3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80" w:hRule="atLeast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aⁿbⁿcⁿ (n ≥ 1)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80" w:hRule="atLeast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Binärzahlen, die durch 3 teilbar sind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80" w:hRule="atLeast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Palindrome über {0, 1}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p>
      <w:r>
        <w:br w:type="page"/>
      </w: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Das Begriffsnetz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Schneidet die Begriffs- und Verbindungskarten (Kopiervorlage) aus.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Legt die Begriffskarten auf ein A3-Blatt und verbindet sie mit Pfeilen. Beschriftet jeden Pfeil mit einer Verbindungskarte oder einer eigenen Formulierung (z. B. „DEA – erkennt → reguläre Sprachen“).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Ziel: mindestens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12 Verbindungen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; jede Begriffskarte ist mindestens einmal verbunden.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Jede Gruppe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zwei Verbindungen im Plenum – mit Beispiel aus dem Unterricht.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Abi-Trainingszirkel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Vier Stationen mit Aufgaben im Abitur-Format (Sie-Form, Bewertungseinheiten). Bearbeite jede Station ca. 10 Minuten auf einem separaten Blatt (Station 4 direkt in der Tabelle), kontrolliere dann mit 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Lösungskarte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trage deine BE ein.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021"/>
        <w:gridCol w:w="1928"/>
        <w:gridCol w:w="3629"/>
        <w:gridCol w:w="1247"/>
        <w:gridCol w:w="2041"/>
      </w:tblGrid>
      <w:tr>
        <w:trPr>
          <w:cantSplit/>
          <w:tblHeader/>
        </w:trPr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Station</w:t>
            </w:r>
          </w:p>
        </w:tc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Schwerpunkt</w:t>
            </w:r>
          </w:p>
        </w:tc>
        <w:tc>
          <w:tcPr>
            <w:tcW w:type="dxa" w:w="362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Operatoren</w:t>
            </w:r>
          </w:p>
        </w:tc>
        <w:tc>
          <w:tcPr>
            <w:tcW w:type="dxa" w:w="124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max. BE</w:t>
            </w:r>
          </w:p>
        </w:tc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meine BE</w:t>
            </w: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Analyse</w:t>
            </w:r>
          </w:p>
        </w:tc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untersuchen, beschreiben, begründen</w:t>
            </w: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6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Entwurf</w:t>
            </w:r>
          </w:p>
        </w:tc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entwickeln, zeigen</w:t>
            </w: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7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Begründung</w:t>
            </w:r>
          </w:p>
        </w:tc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begründen, angeben</w:t>
            </w: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7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Dokumentation</w:t>
            </w:r>
          </w:p>
        </w:tc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dokumentieren, erläutern</w:t>
            </w: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6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sortierer?runde=1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Chomsky-Sortierer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10 Sprachkarten, drei Fächer: DEA reicht – Kellerautomat nötig – mehr nötig. Nach jeder Karte siehst du die Begründung.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https://automatenlab.frankjuchim.de/#/sortierer?runde=1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quiz?welt=C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Level-Quiz Welt C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Exit-Ticket für ganz Welt C: Grammatiken, reguläre und kontextfreie Sprachen, Chomsky-Hierarchie.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https://automatenlab.frankjuchim.de/#/quiz?welt=C</w:t>
            </w:r>
          </w:p>
        </w:tc>
      </w:tr>
    </w:tbl>
    <w:p>
      <w:pPr>
        <w:spacing w:after="1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14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zu einer Sprache die möglichst spezielle Grammatik und Maschine angeben und begründen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Zusammenhänge DEA – NEA – rechtsreguläre Grammatik und NKA – kontextfreie Grammatik erläutern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Abi-Aufgaben zu Grammatiken analysieren, entwerfen, begründen und dokumentieren kann.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Kopiervorlage: Begriffskarten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false"/>
          <w:trHeight w:val="851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Ableitung / Ableitungsbaum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DEA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Kellerautomat (NKA)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Mealy-Automat</w:t>
            </w:r>
          </w:p>
        </w:tc>
      </w:tr>
      <w:tr>
        <w:trPr>
          <w:cantSplit/>
          <w:tblHeader w:val="false"/>
          <w:trHeight w:val="851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Mehrdeutigkeit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NEA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Schubfachprinzip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Turingmaschine</w:t>
            </w:r>
          </w:p>
        </w:tc>
      </w:tr>
      <w:tr>
        <w:trPr>
          <w:cantSplit/>
          <w:tblHeader w:val="false"/>
          <w:trHeight w:val="851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Typ 1 / Typ 0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aⁿbⁿ, Palindrome, Klammern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aⁿbⁿcⁿ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endet auf ab</w:t>
            </w:r>
          </w:p>
        </w:tc>
      </w:tr>
      <w:tr>
        <w:trPr>
          <w:cantSplit/>
          <w:tblHeader w:val="false"/>
          <w:trHeight w:val="851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kontextfreie Sprachen (Typ 2)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kontextfreie Grammatik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rechtsreguläre Grammatik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reguläre Sprachen (Typ 3)</w:t>
            </w:r>
          </w:p>
        </w:tc>
      </w:tr>
      <w:tr>
        <w:trPr>
          <w:cantSplit/>
          <w:tblHeader w:val="false"/>
          <w:trHeight w:val="851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Zustand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Endzustand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Keller (Γ, #)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Nichtterminal</w:t>
            </w:r>
          </w:p>
        </w:tc>
      </w:tr>
      <w:tr>
        <w:trPr>
          <w:cantSplit/>
          <w:tblHeader w:val="false"/>
          <w:trHeight w:val="851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Startsymbol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Teilmengenkonstruktion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Verbindungskarten (mehrfach verwendbar – leere Karten selbst beschriften)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false"/>
          <w:trHeight w:val="624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Beispiel für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Spezialfall von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erkennt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erweitert um Ausgabe</w:t>
            </w:r>
          </w:p>
        </w:tc>
      </w:tr>
      <w:tr>
        <w:trPr>
          <w:cantSplit/>
          <w:tblHeader w:val="false"/>
          <w:trHeight w:val="624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erweitert um Keller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erzeugt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gleich mächtig wie (Teilmengenkonstruktion)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mögliche Eigenschaft</w:t>
            </w:r>
          </w:p>
        </w:tc>
      </w:tr>
      <w:tr>
        <w:trPr>
          <w:cantSplit/>
          <w:tblHeader w:val="false"/>
          <w:trHeight w:val="624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zeigt, was erzeugt wird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zeigt: nicht regulär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übersetzbar in (Rezept)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erkennt</w:t>
            </w:r>
          </w:p>
        </w:tc>
      </w:tr>
      <w:tr>
        <w:trPr>
          <w:cantSplit/>
          <w:tblHeader w:val="false"/>
          <w:trHeight w:val="624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erzeugt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Beispiel für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Beispiel für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Spezialfall von</w:t>
            </w:r>
          </w:p>
        </w:tc>
      </w:tr>
      <w:tr>
        <w:trPr>
          <w:cantSplit/>
          <w:tblHeader w:val="false"/>
          <w:trHeight w:val="624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Station 1 – Analyse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Lagerroboter protokolliert seine Aktionen: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Kiste aufnehmen,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ein Feld fahren,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c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Kiste abgeben. Gültige Protokolle werden von der Grammatik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erzeugt.</w:t>
      </w:r>
    </w:p>
    <w:tbl>
      <w:tblPr>
        <w:tblW w:type="dxa" w:w="3969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3969"/>
      </w:tblGrid>
      <w:tr>
        <w:trPr>
          <w:cantSplit/>
        </w:trPr>
        <w:tc>
          <w:tcPr>
            <w:tcW w:type="dxa" w:w="3969"/>
            <w:shd w:fill="F6F8F8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N = {S, F}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T = {a, f, c}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Startsymbol: S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Produktionsregeln: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 → aSc | F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F → fF | f</w:t>
            </w:r>
          </w:p>
        </w:tc>
      </w:tr>
    </w:tbl>
    <w:p>
      <w:pPr>
        <w:spacing w:after="140" w:before="60" w:line="276"/>
        <w:jc w:val="center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Abbildung S1: Grammatik G</w:t>
      </w:r>
      <w:r>
        <w:rPr>
          <w:rFonts w:ascii="Calibri" w:cs="Calibri" w:eastAsia="Calibri" w:hAnsi="Calibri"/>
          <w:color w:val="5B6770"/>
          <w:sz w:val="18"/>
          <w:szCs w:val="18"/>
          <w:vertAlign w:val="subscript"/>
        </w:rPr>
        <w:t xml:space="preserve">L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Untersuchen Sie, ob die Protokolle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aaffcc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affcc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von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werden.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Beschreiben Sie die Sprache L(G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 und die Bedeutung des Nichtterminals F im Sachzusammenhang.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Begründen Sie, dass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keine reguläre Grammatik ist.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[1 BE]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Station 2 – Entwurf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Paketcodes bestehen aus den Zeichen Σ = {k, g, z, p}: Ein Code beginnt mit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(kleines Paket) oder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(großes Paket), danach folgen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mindestens zwei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Ziffern, die durch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dargestellt werden, am Ende steht genau ein Prüfzeichen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Beispiel: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gzzzp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Entwickeln Sie eine reguläre Grammatik, die genau die Paketcodes erzeugt.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Zeigen Sie mit Ihrer Grammatik, dass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kzzzp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wird.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[1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Entwickeln Sie aus Ihrer Grammatik den Zustandsgraphen eines DEA, der genau die Paketcodes akzeptiert. Auf die Darstellung des Fehlerzustands kann verzichtet werden.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Station 3 – Begründung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Betrachtet wird die Sprache L = {aⁿfᵐcⁿ | n ≥ 0, m ≥ 1} der Lagerroboter-Protokolle aus Station 1.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Begründen Sie, dass L nicht regulär ist.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[4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Geben Sie für die folgenden Sprachen jeweils die möglichst spezielle Maschine an, die genau diese Sprache akzeptiert, und begründen Sie Ihre Angabe kurz: (1) die Paketcodes aus Station 2, (2) die Sprache L, (3) die Protokolle aⁿfⁿcⁿ (n ≥ 1), bei denen genauso oft gefahren wird, wie Kisten aufgenommen und abgegeben werden.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Station 4 – Dokumentation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Kellerautomat in Abbildung S4 prüft Lagerroboter-Protokolle. Γ = {#, A}, # ist das Vorbelegungszeichen.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495800" cy="1209675"/>
            <wp:effectExtent t="0" r="0" b="0" l="0"/>
            <wp:docPr id="1" name="lager_nka.png" descr="Abbildung S4: Kellerautomat für Protokolle. Alle nicht eingezeichneten Übergänge führen in einen Fehlerzustand." title="Abbildung S4: Kellerautomat für Protokolle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S4: Kellerautomat für Protokolle.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Dokumentieren Sie die Verarbeitung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aafcc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den Kellerautomaten in einer Tabelle. Geben Sie an, ob die Eingabe akzeptiert wird.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[4 BE]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2722"/>
        <w:gridCol w:w="2722"/>
        <w:gridCol w:w="2948"/>
      </w:tblGrid>
      <w:tr>
        <w:trPr>
          <w:cantSplit/>
          <w:tblHeader/>
          <w:trHeight w:val="369" w:hRule="atLeast"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Eingabe wird akzeptiert:   ☐ ja    ☐ nein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Erläutern Sie die Bedeutung des Kellerinhalts im Sachzusammenhang.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[2 BE]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Lösungskarten zur Selbstkontrolle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An den Stationen umgedreht auslegen oder an der gestrichelten Linie abknicken. Erst nach der Bearbeitung ansehen!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Lösung Station 1 – Analyse (6 BE)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a) aaffcc: S ⇒ aSc ⇒ aaScc ⇒ aaFcc ⇒ aafFcc ⇒ aaffcc – wird erzeugt (1 BE). affcc: Jede Anwendung von S → aSc erzeugt genau ein a und ein c, also enthalten alle Wörter gleich viele a und c; affcc hat ein a, aber zwei c – wird nicht erzeugt (1 BE).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b) L(G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 = {aⁿfᵐcⁿ | n ≥ 0, m ≥ 1}: Erst werden n Kisten aufgenommen, dann fährt der Roboter mindestens ein Feld, dann gibt er genau so viele Kisten ab (2 BE). F erzeugt die Fahrstrecke aus mindestens einem f (1 BE).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c) In S → aSc steht rechts vom Nichtterminal noch ein Terminal; zulässig wären nur A → aB, A → a, A → ε (1 BE).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Lösung Station 2 – Entwurf (7 BE)</w:t>
            </w:r>
          </w:p>
          <w:tbl>
            <w:tblPr>
              <w:tblW w:type="dxa" w:w="941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309"/>
              <w:gridCol w:w="5103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a) N = {S, A, B, C}, T = {k, g, z, p}, Startsymbol S (3 BE):</w:t>
                  </w:r>
                </w:p>
                <w:tbl>
                  <w:tblPr>
                    <w:tblW w:type="dxa" w:w="3402"/>
                    <w:tblBorders>
                      <w:top w:val="single" w:color="C9D3D6" w:sz="6"/>
                      <w:left w:val="single" w:color="C9D3D6" w:sz="6"/>
                      <w:bottom w:val="single" w:color="C9D3D6" w:sz="6"/>
                      <w:right w:val="single" w:color="C9D3D6" w:sz="6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3402"/>
                  </w:tblGrid>
                  <w:tr>
                    <w:trPr>
                      <w:cantSplit/>
                    </w:trPr>
                    <w:tc>
                      <w:tcPr>
                        <w:tcW w:type="dxa" w:w="3402"/>
                        <w:shd w:fill="F6F8F8" w:color="auto" w:val="clear"/>
                        <w:tcMar>
                          <w:top w:type="dxa" w:w="120"/>
                          <w:left w:type="dxa" w:w="200"/>
                          <w:bottom w:type="dxa" w:w="100"/>
                          <w:right w:type="dxa" w:w="200"/>
                        </w:tcMar>
                        <w:vAlign w:val="top"/>
                      </w:tcPr>
                      <w:p>
                        <w:pPr>
                          <w:spacing w:after="30" w:before="0" w:line="276"/>
                          <w:ind w:left="2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9"/>
                            <w:szCs w:val="19"/>
                          </w:rPr>
                          <w:t xml:space="preserve">S → kA | gA</w:t>
                        </w:r>
                      </w:p>
                      <w:p>
                        <w:pPr>
                          <w:spacing w:after="30" w:before="0" w:line="276"/>
                          <w:ind w:left="2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9"/>
                            <w:szCs w:val="19"/>
                          </w:rPr>
                          <w:t xml:space="preserve">A → zB</w:t>
                        </w:r>
                      </w:p>
                      <w:p>
                        <w:pPr>
                          <w:spacing w:after="30" w:before="0" w:line="276"/>
                          <w:ind w:left="2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9"/>
                            <w:szCs w:val="19"/>
                          </w:rPr>
                          <w:t xml:space="preserve">B → zC</w:t>
                        </w:r>
                      </w:p>
                      <w:p>
                        <w:pPr>
                          <w:spacing w:after="30" w:before="0" w:line="276"/>
                          <w:ind w:left="2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9"/>
                            <w:szCs w:val="19"/>
                          </w:rPr>
                          <w:t xml:space="preserve">C → zC | p</w:t>
                        </w:r>
                      </w:p>
                    </w:tc>
                  </w:tr>
                </w:tbl>
                <w:p>
                  <w:pPr>
                    <w:spacing w:after="120" w:before="0"/>
                  </w:pPr>
                </w:p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b) S ⇒ kA ⇒ kzB ⇒ kzzC ⇒ kzzzC ⇒ kzzzp (1 BE)</w:t>
                  </w:r>
                </w:p>
              </w:tc>
              <w:tc>
                <w:tcPr>
                  <w:tcW w:type="dxa" w:w="51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c) DEA nach dem Rezept, Zustände S0–S3 entsprechen S, A, B, C; S4 neu für C → p (3 BE):</w:t>
                  </w:r>
                </w:p>
                <w:p>
                  <w:pPr>
                    <w:keepNext/>
                    <w:spacing w:after="20" w:before="60"/>
                    <w:jc w:val="center"/>
                  </w:pPr>
                  <w:r>
                    <w:drawing>
                      <wp:inline distT="0" distB="0" distL="0" distR="0">
                        <wp:extent cx="2990850" cy="542925"/>
                        <wp:effectExtent t="0" r="0" b="0" l="0"/>
                        <wp:docPr id="1" name="paket_dea.png" descr="Alle nicht eingezeichneten Übergänge führen in einen Fehlerzustand." title="Alle nicht eingezeichneten Übergänge führen in einen Fehlerzustand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90850" cy="542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1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770"/>
                      <w:sz w:val="18"/>
                      <w:szCs w:val="18"/>
                    </w:rPr>
                    <w:t xml:space="preserve">Alle nicht eingezeichneten Übergänge führen in einen Fehlerzustand.</w:t>
                  </w:r>
                </w:p>
              </w:tc>
            </w:tr>
          </w:tbl>
          <w:p/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Lösung Station 3 – Begründung (7 BE)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a) Annahme: Ein DEA mit k Zuständen akzeptiert L (1 BE). Er liest die k + 1 Präfixe ε, a, aa, …, aᵏ; nach dem Schubfachprinzip endet er für zwei davon, aⁱ und aʲ mit i ≠ j, im selben Zustand (1 BE). Dann verhält er sich bei den Fortsetzungen gleich: aⁱfcⁱ gehört zu L, aʲfcⁱ nicht (1 BE) – Widerspruch, L ist nicht regulär (1 BE).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(1) DEA – endliches Muster ohne unbeschränktes Zählen (1 BE). (2) Kellerautomat – L ist kontextfrei (Grammatik G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), aber nach a) nicht regulär; der Keller zählt die a (1 BE). (3) Weder DEA noch Kellerautomat: Es müssen zwei Anzahlen mit n verglichen werden, ein Keller kann nur einmal abgebaut werden – mehr als ein Kellerautomat nötig: linear beschränkter Automat bzw. Turingmaschine (Typ 1, Ausblick) (1 BE).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Lösung Station 4 – Dokumentation (6 BE)</w:t>
            </w:r>
          </w:p>
          <w:tbl>
            <w:tblPr>
              <w:tblW w:type="dxa" w:w="941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237"/>
              <w:gridCol w:w="3175"/>
            </w:tblGrid>
            <w:tr>
              <w:trPr>
                <w:cantSplit/>
              </w:trPr>
              <w:tc>
                <w:tcPr>
                  <w:tcW w:type="dxa" w:w="62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tbl>
                  <w:tblPr>
                    <w:tblW w:type="dxa" w:w="6124"/>
                    <w:tblBorders>
                      <w:top w:val="single" w:color="C9D3D6" w:sz="4"/>
                      <w:left w:val="single" w:color="C9D3D6" w:sz="4"/>
                      <w:bottom w:val="single" w:color="C9D3D6" w:sz="4"/>
                      <w:right w:val="single" w:color="C9D3D6" w:sz="4"/>
                      <w:insideH w:val="single" w:color="C9D3D6" w:sz="4"/>
                      <w:insideV w:val="single" w:color="C9D3D6" w:sz="4"/>
                    </w:tblBorders>
                    <w:tblLayout w:type="fixed"/>
                  </w:tblPr>
                  <w:tblGrid>
                    <w:gridCol w:w="1021"/>
                    <w:gridCol w:w="1701"/>
                    <w:gridCol w:w="1588"/>
                    <w:gridCol w:w="181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21"/>
                        <w:shd w:fill="0E6455" w:color="auto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 xml:space="preserve">Zustand</w:t>
                        </w:r>
                      </w:p>
                    </w:tc>
                    <w:tc>
                      <w:tcPr>
                        <w:tcW w:type="dxa" w:w="1701"/>
                        <w:shd w:fill="0E6455" w:color="auto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 xml:space="preserve">Belegung Kellerspeicher</w:t>
                        </w:r>
                      </w:p>
                    </w:tc>
                    <w:tc>
                      <w:tcPr>
                        <w:tcW w:type="dxa" w:w="1588"/>
                        <w:shd w:fill="0E6455" w:color="auto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 xml:space="preserve">oberstes Kellersymbol</w:t>
                        </w:r>
                      </w:p>
                    </w:tc>
                    <w:tc>
                      <w:tcPr>
                        <w:tcW w:type="dxa" w:w="1814"/>
                        <w:shd w:fill="0E6455" w:color="auto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 xml:space="preserve">verarbeitetes Eingabezeichen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102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S0</w:t>
                        </w:r>
                      </w:p>
                    </w:tc>
                    <w:tc>
                      <w:tcPr>
                        <w:tcW w:type="dxa" w:w="170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#</w:t>
                        </w:r>
                      </w:p>
                    </w:tc>
                    <w:tc>
                      <w:tcPr>
                        <w:tcW w:type="dxa" w:w="158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–</w:t>
                        </w:r>
                      </w:p>
                    </w:tc>
                    <w:tc>
                      <w:tcPr>
                        <w:tcW w:type="dxa" w:w="181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–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102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S0</w:t>
                        </w:r>
                      </w:p>
                    </w:tc>
                    <w:tc>
                      <w:tcPr>
                        <w:tcW w:type="dxa" w:w="170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A#</w:t>
                        </w:r>
                      </w:p>
                    </w:tc>
                    <w:tc>
                      <w:tcPr>
                        <w:tcW w:type="dxa" w:w="158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#</w:t>
                        </w:r>
                      </w:p>
                    </w:tc>
                    <w:tc>
                      <w:tcPr>
                        <w:tcW w:type="dxa" w:w="181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102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S0</w:t>
                        </w:r>
                      </w:p>
                    </w:tc>
                    <w:tc>
                      <w:tcPr>
                        <w:tcW w:type="dxa" w:w="170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AA#</w:t>
                        </w:r>
                      </w:p>
                    </w:tc>
                    <w:tc>
                      <w:tcPr>
                        <w:tcW w:type="dxa" w:w="158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</w:t>
                        </w:r>
                      </w:p>
                    </w:tc>
                    <w:tc>
                      <w:tcPr>
                        <w:tcW w:type="dxa" w:w="181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102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S1</w:t>
                        </w:r>
                      </w:p>
                    </w:tc>
                    <w:tc>
                      <w:tcPr>
                        <w:tcW w:type="dxa" w:w="170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AA#</w:t>
                        </w:r>
                      </w:p>
                    </w:tc>
                    <w:tc>
                      <w:tcPr>
                        <w:tcW w:type="dxa" w:w="158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</w:t>
                        </w:r>
                      </w:p>
                    </w:tc>
                    <w:tc>
                      <w:tcPr>
                        <w:tcW w:type="dxa" w:w="181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f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102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S2</w:t>
                        </w:r>
                      </w:p>
                    </w:tc>
                    <w:tc>
                      <w:tcPr>
                        <w:tcW w:type="dxa" w:w="170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A#</w:t>
                        </w:r>
                      </w:p>
                    </w:tc>
                    <w:tc>
                      <w:tcPr>
                        <w:tcW w:type="dxa" w:w="158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</w:t>
                        </w:r>
                      </w:p>
                    </w:tc>
                    <w:tc>
                      <w:tcPr>
                        <w:tcW w:type="dxa" w:w="181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c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102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S2</w:t>
                        </w:r>
                      </w:p>
                    </w:tc>
                    <w:tc>
                      <w:tcPr>
                        <w:tcW w:type="dxa" w:w="170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#</w:t>
                        </w:r>
                      </w:p>
                    </w:tc>
                    <w:tc>
                      <w:tcPr>
                        <w:tcW w:type="dxa" w:w="158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</w:t>
                        </w:r>
                      </w:p>
                    </w:tc>
                    <w:tc>
                      <w:tcPr>
                        <w:tcW w:type="dxa" w:w="181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c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102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S3</w:t>
                        </w:r>
                      </w:p>
                    </w:tc>
                    <w:tc>
                      <w:tcPr>
                        <w:tcW w:type="dxa" w:w="170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#</w:t>
                        </w:r>
                      </w:p>
                    </w:tc>
                    <w:tc>
                      <w:tcPr>
                        <w:tcW w:type="dxa" w:w="158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#</w:t>
                        </w:r>
                      </w:p>
                    </w:tc>
                    <w:tc>
                      <w:tcPr>
                        <w:tcW w:type="dxa" w:w="181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ε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1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a) Tabelle links (je korrekter Abschnitt 1 BE, Akzeptanz 1 BE). Nach aafcc ist der Automat im Endzustand S3 –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9"/>
                      <w:szCs w:val="19"/>
                    </w:rPr>
                    <w:t xml:space="preserve">Eingabe wird akzeptiert: ja.</w:t>
                  </w:r>
                </w:p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b) Jedes A im Keller steht für eine aufgenommene, aber noch nicht abgegebene Kiste (1 BE). Bei c wird ein A entfernt; nur wenn am Ende wieder # oben liegt – alle Kisten abgegeben –, ist der Übergang in den Endzustand S3 möglich (1 BE).</w:t>
                  </w:r>
                </w:p>
              </w:tc>
            </w:tr>
          </w:tbl>
          <w:p/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DS14 · Arbeitsblatt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a62cb2cec11236c3dd734c2928aac6fca21903.png"/><Relationship Id="rId10" Type="http://schemas.openxmlformats.org/officeDocument/2006/relationships/image" Target="media/aa55d13491912bbee4e3c718d35fcf7a1570518b.png"/><Relationship Id="rId11" Type="http://schemas.openxmlformats.org/officeDocument/2006/relationships/image" Target="media/9fc70aead62ca9c8bf4fb40f0716a109904be74e.png"/><Relationship Id="rId12" Type="http://schemas.openxmlformats.org/officeDocument/2006/relationships/image" Target="media/8342bfa8220481524f5d41cc98c48eedb37d49a7.png"/><Relationship Id="rId13" Type="http://schemas.openxmlformats.org/officeDocument/2006/relationships/image" Target="media/d1b2322cc270ebe2328a64a7dad792c1e1ff640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 Landkarte der Sprachen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2026-10-14T16:08:24.206Z</dcterms:created>
  <dcterms:modified xsi:type="dcterms:W3CDTF">2026-10-14T16:08:24.206Z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