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Merkblatt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M04  ·  Welt A  ·  Niveau: gA und eA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40"/>
                <w:szCs w:val="40"/>
              </w:rPr>
              <w:t xml:space="preserve">Mealy-Automaten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Merkblatt M04 · Level 6 · Notation, Vergleich mit DEA, Entwickeln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Informatik gA und eA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1  Aufbau und Notation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268"/>
        <w:gridCol w:w="4309"/>
        <w:gridCol w:w="3289"/>
      </w:tblGrid>
      <w:tr>
        <w:trPr>
          <w:cantSplit/>
          <w:tblHeader/>
        </w:trPr>
        <w:tc>
          <w:tcPr>
            <w:tcW w:type="dxa" w:w="226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Bestandteil</w:t>
            </w:r>
          </w:p>
        </w:tc>
        <w:tc>
          <w:tcPr>
            <w:tcW w:type="dxa" w:w="4309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Bedeutung</w:t>
            </w:r>
          </w:p>
        </w:tc>
        <w:tc>
          <w:tcPr>
            <w:tcW w:type="dxa" w:w="3289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im Zustandsgraphen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Eingabealphabet Σ</w:t>
            </w:r>
          </w:p>
        </w:tc>
        <w:tc>
          <w:tcPr>
            <w:tcW w:type="dxa" w:w="430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Zeichen, die gelesen werden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vor dem Schrägstrich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Ausgabealphabet Ω</w:t>
            </w:r>
          </w:p>
        </w:tc>
        <w:tc>
          <w:tcPr>
            <w:tcW w:type="dxa" w:w="430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Zeichen, aus denen die Ausgaben bestehen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hinter dem Schrägstrich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Zustände, Startzustand</w:t>
            </w:r>
          </w:p>
        </w:tc>
        <w:tc>
          <w:tcPr>
            <w:tcW w:type="dxa" w:w="430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endlich viele; „Gedächtnis“; Start in S0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Kreise, Pfeil „Start“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Übergang e / a</w:t>
            </w:r>
          </w:p>
        </w:tc>
        <w:tc>
          <w:tcPr>
            <w:tcW w:type="dxa" w:w="430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liest e, gibt das Wort a über Ω aus, wechselt den Zustand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Pfeil, z. B. 2 / K1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leere Ausgabe</w:t>
            </w:r>
          </w:p>
        </w:tc>
        <w:tc>
          <w:tcPr>
            <w:tcW w:type="dxa" w:w="430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keine Ausgabe bei diesem Übergang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ε, z. B. 1 / ε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Endzustände</w:t>
            </w:r>
          </w:p>
        </w:tc>
        <w:tc>
          <w:tcPr>
            <w:tcW w:type="dxa" w:w="430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gibt es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nicht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 – das Ergebnis ist das Ausgabewort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–</w:t>
            </w:r>
          </w:p>
        </w:tc>
      </w:tr>
    </w:tbl>
    <w:p>
      <w:pPr>
        <w:spacing w:after="14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Mealy-Automaten werden mit Σ, Ω und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vollständigem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Übergangsgraphen angegeben: Jeder Zustand hat für jedes Eingabezeichen genau einen Übergang.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2  Beispiel: Kartoffelautomat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670"/>
        <w:gridCol w:w="4196"/>
      </w:tblGrid>
      <w:tr>
        <w:trPr>
          <w:cantSplit/>
        </w:trPr>
        <w:tc>
          <w:tcPr>
            <w:tcW w:type="dxa" w:w="5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keepNext/>
              <w:spacing w:after="20" w:before="60"/>
              <w:jc w:val="center"/>
            </w:pPr>
            <w:r>
              <w:drawing>
                <wp:inline distT="0" distB="0" distL="0" distR="0">
                  <wp:extent cx="3457575" cy="904875"/>
                  <wp:effectExtent t="0" r="0" b="0" l="0"/>
                  <wp:docPr id="1" name="kartoffel.png" descr="Preis 4 €; Σ = {1, 2}, Ω = {1, K}" title="Preis 4 €; Σ = {1, 2}, Ω = {1, K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57575" cy="904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0" w:line="276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B6770"/>
                <w:sz w:val="18"/>
                <w:szCs w:val="18"/>
              </w:rPr>
              <w:t xml:space="preserve">Preis 4 €; Σ = {1, 2}, Ω = {1, K}</w:t>
            </w:r>
          </w:p>
        </w:tc>
        <w:tc>
          <w:tcPr>
            <w:tcW w:type="dxa" w:w="41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Verarbeitung darstellen:</w:t>
            </w:r>
          </w:p>
          <w:p>
            <w:pPr>
              <w:spacing w:after="100" w:before="0" w:line="276"/>
              <w:jc w:val="left"/>
            </w:pPr>
            <w:r>
              <w:rPr>
                <w:rFonts w:ascii="Consolas" w:cs="Consolas" w:eastAsia="Consolas" w:hAnsi="Consolas"/>
                <w:color w:val="0A4A3F"/>
                <w:sz w:val="18"/>
                <w:szCs w:val="18"/>
              </w:rPr>
              <w:t xml:space="preserve">212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: S0 –2 / ε→ S2 –1 / ε→ S3 –2 / K1→ S0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Ausgabe: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K1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(Sack + 1 € Rückgeld)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Bedeutung der Zustände: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S0 … S3 = bisher bezahlter Betrag 0 € … 3 €.</w:t>
            </w:r>
          </w:p>
        </w:tc>
      </w:tr>
    </w:tbl>
    <w:p>
      <w:pPr>
        <w:spacing w:after="8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3  DEA und Mealy-Automat im Vergleich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268"/>
        <w:gridCol w:w="3799"/>
        <w:gridCol w:w="3799"/>
      </w:tblGrid>
      <w:tr>
        <w:trPr>
          <w:cantSplit/>
          <w:tblHeader/>
        </w:trPr>
        <w:tc>
          <w:tcPr>
            <w:tcW w:type="dxa" w:w="226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Merkmal</w:t>
            </w:r>
          </w:p>
        </w:tc>
        <w:tc>
          <w:tcPr>
            <w:tcW w:type="dxa" w:w="3799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DEA</w:t>
            </w:r>
          </w:p>
        </w:tc>
        <w:tc>
          <w:tcPr>
            <w:tcW w:type="dxa" w:w="3799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Mealy-Automat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Aufgabe</w:t>
            </w:r>
          </w:p>
        </w:tc>
        <w:tc>
          <w:tcPr>
            <w:tcW w:type="dxa" w:w="379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Eingaben prüfen (Akzeptor)</w:t>
            </w:r>
          </w:p>
        </w:tc>
        <w:tc>
          <w:tcPr>
            <w:tcW w:type="dxa" w:w="379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Eingaben übersetzen / steuern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Kantenbeschriftung</w:t>
            </w:r>
          </w:p>
        </w:tc>
        <w:tc>
          <w:tcPr>
            <w:tcW w:type="dxa" w:w="379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Eingabezeichen</w:t>
            </w:r>
          </w:p>
        </w:tc>
        <w:tc>
          <w:tcPr>
            <w:tcW w:type="dxa" w:w="379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Eingabe / Ausgabe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Ergebnis</w:t>
            </w:r>
          </w:p>
        </w:tc>
        <w:tc>
          <w:tcPr>
            <w:tcW w:type="dxa" w:w="379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akzeptiert / abgelehnt nach dem letzten Zeichen</w:t>
            </w:r>
          </w:p>
        </w:tc>
        <w:tc>
          <w:tcPr>
            <w:tcW w:type="dxa" w:w="379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Ausgabewort, entsteht Schritt für Schritt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Endzustände</w:t>
            </w:r>
          </w:p>
        </w:tc>
        <w:tc>
          <w:tcPr>
            <w:tcW w:type="dxa" w:w="379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ja</w:t>
            </w:r>
          </w:p>
        </w:tc>
        <w:tc>
          <w:tcPr>
            <w:tcW w:type="dxa" w:w="379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nein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Vollständigkeit</w:t>
            </w:r>
          </w:p>
        </w:tc>
        <w:tc>
          <w:tcPr>
            <w:tcW w:type="dxa" w:w="379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Fehlerzustand darf mit Hinweis fehlen</w:t>
            </w:r>
          </w:p>
        </w:tc>
        <w:tc>
          <w:tcPr>
            <w:tcW w:type="dxa" w:w="379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vollständiger Übergangsgraph</w:t>
            </w:r>
          </w:p>
        </w:tc>
      </w:tr>
    </w:tbl>
    <w:p>
      <w:pPr>
        <w:spacing w:after="14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Gemeinsamkeiten: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endlich viele Zustände, ein Startzustand, deterministisch (pro Zustand und Zeichen genau ein Übergang), kein Speicher außer dem Zustand – daher dieselben Grenzen (z. B. kein unbeschränktes Zählen, Level 7).</w:t>
      </w:r>
    </w:p>
    <w:p>
      <w:r>
        <w:br w:type="page"/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4  Mealy-Automaten entwickeln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Erinnerungen sammeln: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Was muss sich der Automat merken, um später richtig auszugeben? (bezahlter Betrag, erste Ziffer, bisherige Bits …) → Zustände.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Übergänge: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Für jeden Zustand und jedes Eingabezeichen Folgezustand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und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Ausgabe festlegen (ggf. ε).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Ausgabe so früh wie möglich: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Was schon feststeht, kann sofort ausgegeben werden – das spart oft Zustände.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Testen: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Ausgaben für Beispiel- und Grenzfälle (kurze Eingaben, Wiederholungen, Abschlusszeichen) bestimmen.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9"/>
        <w:gridCol w:w="5557"/>
      </w:tblGrid>
      <w:tr>
        <w:trPr>
          <w:cantSplit/>
        </w:trPr>
        <w:tc>
          <w:tcPr>
            <w:tcW w:type="dxa" w:w="43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keepNext/>
              <w:spacing w:after="20" w:before="60"/>
              <w:jc w:val="center"/>
            </w:pPr>
            <w:r>
              <w:drawing>
                <wp:inline distT="0" distB="0" distL="0" distR="0">
                  <wp:extent cx="2524125" cy="1752600"/>
                  <wp:effectExtent t="0" r="0" b="0" l="0"/>
                  <wp:docPr id="1" name="palindrom.png" descr="3 Bit → 5-stelliges Palindrom" title="3 Bit → 5-stelliges Palindro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4125" cy="1752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0" w:line="276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B6770"/>
                <w:sz w:val="18"/>
                <w:szCs w:val="18"/>
              </w:rPr>
              <w:t xml:space="preserve">3 Bit → 5-stelliges Palindrom</w:t>
            </w:r>
          </w:p>
        </w:tc>
        <w:tc>
          <w:tcPr>
            <w:tcW w:type="dxa" w:w="555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Beispiel Palindrom-Generator: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Die ersten beiden Bits werden sofort ausgegeben, aber gemerkt (S1–S6). Beim dritten Bit c folgt die Ausgabe c, zweites Bit, erstes Bit – zurück nach S0.</w:t>
            </w:r>
          </w:p>
          <w:p>
            <w:pPr>
              <w:spacing w:after="100" w:before="0" w:line="276"/>
              <w:jc w:val="left"/>
            </w:pPr>
            <w:r>
              <w:rPr>
                <w:rFonts w:ascii="Consolas" w:cs="Consolas" w:eastAsia="Consolas" w:hAnsi="Consolas"/>
                <w:color w:val="0A4A3F"/>
                <w:sz w:val="18"/>
                <w:szCs w:val="18"/>
              </w:rPr>
              <w:t xml:space="preserve">011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0A4A3F"/>
                <w:sz w:val="18"/>
                <w:szCs w:val="18"/>
              </w:rPr>
              <w:t xml:space="preserve">01110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,  </w:t>
            </w:r>
            <w:r>
              <w:rPr>
                <w:rFonts w:ascii="Consolas" w:cs="Consolas" w:eastAsia="Consolas" w:hAnsi="Consolas"/>
                <w:color w:val="0A4A3F"/>
                <w:sz w:val="18"/>
                <w:szCs w:val="18"/>
              </w:rPr>
              <w:t xml:space="preserve">110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0A4A3F"/>
                <w:sz w:val="18"/>
                <w:szCs w:val="18"/>
              </w:rPr>
              <w:t xml:space="preserve">11011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Zustände: 1 + 2 + 4 = 7 (nach 0, 1, 2 Bits alle Möglichkeiten merken).</w:t>
            </w:r>
          </w:p>
        </w:tc>
      </w:tr>
    </w:tbl>
    <w:p>
      <w:pPr>
        <w:spacing w:after="8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5  Abi-Check: Operatoren und Antwortmuster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3515"/>
        <w:gridCol w:w="6350"/>
      </w:tblGrid>
      <w:tr>
        <w:trPr>
          <w:cantSplit/>
          <w:tblHeader/>
        </w:trPr>
        <w:tc>
          <w:tcPr>
            <w:tcW w:type="dxa" w:w="351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Aufgabenstellung</w:t>
            </w:r>
          </w:p>
        </w:tc>
        <w:tc>
          <w:tcPr>
            <w:tcW w:type="dxa" w:w="6350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 gehst du vor</w:t>
            </w:r>
          </w:p>
        </w:tc>
      </w:tr>
      <w:tr>
        <w:trPr>
          <w:cantSplit/>
          <w:tblHeader w:val="false"/>
        </w:trPr>
        <w:tc>
          <w:tcPr>
            <w:tcW w:type="dxa" w:w="351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Geben Sie die Ausgabe für … an.</w:t>
            </w:r>
          </w:p>
        </w:tc>
        <w:tc>
          <w:tcPr>
            <w:tcW w:type="dxa" w:w="63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Zustandsfolge mit „e / a“ verfolgen, Teilausgaben aneinanderhängen (ε weglassen).</w:t>
            </w:r>
          </w:p>
        </w:tc>
      </w:tr>
      <w:tr>
        <w:trPr>
          <w:cantSplit/>
          <w:tblHeader w:val="false"/>
        </w:trPr>
        <w:tc>
          <w:tcPr>
            <w:tcW w:type="dxa" w:w="351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Erläutern Sie die Bedeutung von Zustand Si / der Ausgabe …</w:t>
            </w:r>
          </w:p>
        </w:tc>
        <w:tc>
          <w:tcPr>
            <w:tcW w:type="dxa" w:w="63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Was ist bisher passiert, wenn der Automat in Si ist? Welche Situation führt zu dieser Ausgabe? – immer im Sachzusammenhang.</w:t>
            </w:r>
          </w:p>
        </w:tc>
      </w:tr>
      <w:tr>
        <w:trPr>
          <w:cantSplit/>
          <w:tblHeader w:val="false"/>
        </w:trPr>
        <w:tc>
          <w:tcPr>
            <w:tcW w:type="dxa" w:w="351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Erläutern Sie den Fehler … Verändern Sie den Automaten …</w:t>
            </w:r>
          </w:p>
        </w:tc>
        <w:tc>
          <w:tcPr>
            <w:tcW w:type="dxa" w:w="63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Falsche Ausgabe mit korrekter vergleichen, verantwortliche Kante(n) benennen, Kantenbeschriftung bzw. Folgezustand korrigieren.</w:t>
            </w:r>
          </w:p>
        </w:tc>
      </w:tr>
      <w:tr>
        <w:trPr>
          <w:cantSplit/>
          <w:tblHeader w:val="false"/>
        </w:trPr>
        <w:tc>
          <w:tcPr>
            <w:tcW w:type="dxa" w:w="351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Beschreiben Sie Gemeinsamkeiten und Unterschiede zum DEA.</w:t>
            </w:r>
          </w:p>
        </w:tc>
        <w:tc>
          <w:tcPr>
            <w:tcW w:type="dxa" w:w="63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Tabelle aus Abschnitt 3: Alphabete, Kanten, Endzustände, Ergebnis; Gemeinsamkeiten nicht vergessen.</w:t>
            </w:r>
          </w:p>
        </w:tc>
      </w:tr>
      <w:tr>
        <w:trPr>
          <w:cantSplit/>
          <w:tblHeader w:val="false"/>
        </w:trPr>
        <w:tc>
          <w:tcPr>
            <w:tcW w:type="dxa" w:w="351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Untersuchen Sie, wie viele Zustände mindestens nötig sind.</w:t>
            </w:r>
          </w:p>
        </w:tc>
        <w:tc>
          <w:tcPr>
            <w:tcW w:type="dxa" w:w="63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Zeigen, was sich der Automat merken muss (z. B. alle k bisher gelesenen Bits ⇒ 2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  <w:vertAlign w:val="superscript"/>
              </w:rPr>
              <w:t xml:space="preserve">k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 Möglichkeiten) und die Anzahlen addieren.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F7E3E3" w:sz="6"/>
          <w:left w:val="single" w:color="F7E3E3" w:sz="6"/>
          <w:bottom w:val="single" w:color="F7E3E3" w:sz="6"/>
          <w:right w:val="single" w:color="F7E3E3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7E3E3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A83232"/>
                <w:sz w:val="23"/>
                <w:szCs w:val="23"/>
              </w:rPr>
              <w:t xml:space="preserve">Typische Fehler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Endzustände (Doppelkreise) einzeichnen · fehlende Übergänge (nicht vollständig) · „N“ oder „–“ statt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ε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für keine Ausgabe · Ausgabe an den Zustand statt an die Kante schreiben.</w:t>
            </w:r>
          </w:p>
          <w:p>
            <w:pPr>
              <w:spacing w:after="0" w:before="100"/>
            </w:pP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Abitur-Fallen: </w:t>
            </w: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P1 </w:t>
            </w:r>
            <w:r>
              <w:rPr>
                <w:rFonts w:ascii="Calibri" w:cs="Calibri" w:eastAsia="Calibri" w:hAnsi="Calibri"/>
                <w:color w:val="5B6770"/>
                <w:sz w:val="17"/>
                <w:szCs w:val="17"/>
              </w:rPr>
              <w:t xml:space="preserve">Automat unvollständig, Fehlerzustand-Hinweis fehlt</w:t>
            </w: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  ·  P5 </w:t>
            </w:r>
            <w:r>
              <w:rPr>
                <w:rFonts w:ascii="Calibri" w:cs="Calibri" w:eastAsia="Calibri" w:hAnsi="Calibri"/>
                <w:color w:val="5B6770"/>
                <w:sz w:val="17"/>
                <w:szCs w:val="17"/>
              </w:rPr>
              <w:t xml:space="preserve">Mealy mit Endzuständen oder ohne ε</w:t>
            </w:r>
          </w:p>
        </w:tc>
      </w:tr>
    </w:tbl>
    <w:p>
      <w:pPr>
        <w:spacing w:after="140" w:before="0"/>
      </w:pP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M04 · Merkblatt Mealy-Automaten  ·  CC BY-SA 4.0 Frank Juchim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gA und eA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2080aa426d6af73c718fe010e93a4e47263ff44.png"/><Relationship Id="rId10" Type="http://schemas.openxmlformats.org/officeDocument/2006/relationships/image" Target="media/3698b2be6898c06de2113ffd0887fe008f4dc59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Mealy-Automaten</dc:title>
  <dc:creator>Frank Juchim</dc:creator>
  <dc:description>Informatik gA/eA – Automaten und formale Sprachen</dc:description>
  <cp:lastModifiedBy>Un-named</cp:lastModifiedBy>
  <cp:revision>1</cp:revision>
  <dcterms:created xsi:type="dcterms:W3CDTF">2026-10-14T16:08:05.857Z</dcterms:created>
  <dcterms:modified xsi:type="dcterms:W3CDTF">2026-10-14T16:08:05.857Z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