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Lehrkraft-Handreichung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Abi-Training  ·  Welt A–C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34"/>
                <w:szCs w:val="34"/>
              </w:rPr>
              <w:t xml:space="preserve">Erwartungshorizont „Smart-Home-Befehle“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Automaten und formale Sprachen · erhöhtes Anforderungsniveau · Block 2 · 135 Minuten · 45 BE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Erwartete Leistungen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680"/>
        <w:gridCol w:w="7598"/>
        <w:gridCol w:w="567"/>
        <w:gridCol w:w="1021"/>
      </w:tblGrid>
      <w:tr>
        <w:trPr>
          <w:cantSplit w:val="false"/>
          <w:tblHeader/>
        </w:trPr>
        <w:tc>
          <w:tcPr>
            <w:tcW w:type="dxa" w:w="68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Teil</w:t>
            </w:r>
          </w:p>
        </w:tc>
        <w:tc>
          <w:tcPr>
            <w:tcW w:type="dxa" w:w="759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Erwartete Leistung</w:t>
            </w:r>
          </w:p>
        </w:tc>
        <w:tc>
          <w:tcPr>
            <w:tcW w:type="dxa" w:w="56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</w:t>
            </w:r>
          </w:p>
        </w:tc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AFB</w:t>
            </w:r>
          </w:p>
        </w:tc>
      </w:tr>
      <w:tr>
        <w:trPr>
          <w:cantSplit w:val="false"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L+R--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: S0 –L→ S1 –+→ S3 –R→ S1 –-→ S3 –-→ S3 ⇒ akzeptiert (S3 ist Endzustand). (1 BE)</w:t>
            </w:r>
          </w:p>
          <w:p>
            <w:pPr>
              <w:spacing w:after="10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H+L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: S0 –H→ S2 –+→ S4 –L→ S1 ⇒ abgelehnt (S1 ist kein Endzustand; die Befehlskette endet mit einer Gerätekennung ohne Aktionszeichen). (1 BE)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Zwei akzeptierte Befehlsketten der Länge 4, z. B.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L+R-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H+++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R---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L-H+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(je 1 BE).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4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</w:t>
            </w:r>
          </w:p>
        </w:tc>
      </w:tr>
      <w:tr>
        <w:trPr>
          <w:cantSplit w:val="false"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S1: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Es wurde zuletzt die Gerätekennung L oder R gelesen; der Befehl ist noch unvollständig, es fehlt mindestens ein Aktionszeichen. (1,5 BE)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S3: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Ein vollständiger Befehl für Licht oder Rollladen wurde gelesen (Gerät + mindestens ein Aktionszeichen); die Befehlskette ist gültig und kann mit weiteren Aktionszeichen oder einem neuen Befehl fortgesetzt werden. (1,5 BE)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II</w:t>
            </w:r>
          </w:p>
        </w:tc>
      </w:tr>
      <w:tr>
        <w:trPr>
          <w:cantSplit w:val="false"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Endzustände sind nur S3 und S4. Alle Kanten, die in S3 oder S4 hineinführen, sind mit + oder - beschriftet (aus S1/S2 sowie die Schleifen in S3/S4); die Gerätekennungen L, H, R führen aus jedem Zustand nach S1 oder S2 bzw. in den Fehlerzustand – also kein Endzustand. Damit endet jede akzeptierte Eingabe mit einem Aktionszeichen. (2 BE)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Länge 3: Das erste Zeichen muss eine Gerätekennung sein (aus S0 führen nur L, H, R heraus), danach muss ein Aktionszeichen folgen; das dritte Zeichen muss nach der Begründung oben ebenfalls ein Aktionszeichen sein. Also 3 · 2 · 2 =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12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Befehlsketten (z. B.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L++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H+-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R--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). (2 BE)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4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II</w:t>
            </w:r>
          </w:p>
        </w:tc>
      </w:tr>
      <w:tr>
        <w:trPr>
          <w:cantSplit w:val="false"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d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Der Automat muss sich zusätzlich merken, ob H bereits vorgekommen ist. Zustände: S0 Start; S1 Gerät L/R gelesen (H noch nicht benutzt); S2 vollständiger Befehl, H noch nicht benutzt (Endzustand); S3 Gerät gelesen, H benutzt; S4 vollständiger Befehl, H benutzt (Endzustand). Aus S4 führt H in den Fehlerzustand. (Zustandsidee 2 BE, Übergänge 2 BE, Start-/Endzustände und Fehlerzustand-Hinweis 1 BE)</w:t>
            </w:r>
          </w:p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3962400" cy="2695575"/>
                  <wp:effectExtent t="0" r="0" b="0" l="0"/>
                  <wp:docPr id="1" name="klausur_AH.png" descr="Alle nicht eingezeichneten Übergänge führen in einen Fehlerzustand." title="Alle nicht eingezeichneten Übergänge führen in einen Fehlerzustand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2400" cy="269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Alle nicht eingezeichneten Übergänge führen in einen Fehlerzustand.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5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III</w:t>
            </w:r>
          </w:p>
        </w:tc>
      </w:tr>
      <w:tr>
        <w:trPr>
          <w:cantSplit w:val="false"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Ausgabe für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--+---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: P3 –-/2→ P2 –-/1→ P1 –+/2→ P2 –-/1→ P1 –-/0→ P0 –-/!→ P0, also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21210!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. (2 BE)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P1: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Der Rollladen steht in Position 1 (eine Stufe über ganz unten).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Ausgabe !: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Der Befehl kann nicht ausgeführt werden, weil der Rollladen bereits am Anschlag steht (ganz oben bei +, ganz unten bei -); die Position bleibt unverändert. (2 BE)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4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I–II</w:t>
            </w:r>
          </w:p>
        </w:tc>
      </w:tr>
      <w:tr>
        <w:trPr>
          <w:cantSplit w:val="false"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Zustand = zuletzt genannte Gerätekennung: M0 (noch kein Gerät), ML, MH, MR. Gerätekennungen wechseln den Zustand mit Ausgabe ε; Aktionszeichen bleiben im Zustand und geben das gerätespezifische Signal aus; in M0 werden Aktionszeichen ignoriert (Ausgabe ε). Σ = {L, H, R, +, -}, Ω = {e, a, w, k, o, u}, keine Endzustände. (Zustandsidee 1 BE, Übergänge mit Ausgaben 2 BE, Vollständigkeit inkl. M0 1 BE)</w:t>
            </w:r>
          </w:p>
          <w:tbl>
            <w:tblPr>
              <w:tblW w:type="dxa" w:w="6804"/>
              <w:jc w:val="center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134"/>
              <w:gridCol w:w="1134"/>
              <w:gridCol w:w="1134"/>
              <w:gridCol w:w="1134"/>
              <w:gridCol w:w="1134"/>
              <w:gridCol w:w="1134"/>
            </w:tblGrid>
            <w:tr>
              <w:trPr>
                <w:cantSplit/>
                <w:tblHeader/>
              </w:trPr>
              <w:tc>
                <w:tcPr>
                  <w:tcW w:type="dxa" w:w="1134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Zustand</w:t>
                  </w:r>
                </w:p>
              </w:tc>
              <w:tc>
                <w:tcPr>
                  <w:tcW w:type="dxa" w:w="1134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1134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H</w:t>
                  </w:r>
                </w:p>
              </w:tc>
              <w:tc>
                <w:tcPr>
                  <w:tcW w:type="dxa" w:w="1134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</w:t>
                  </w:r>
                </w:p>
              </w:tc>
              <w:tc>
                <w:tcPr>
                  <w:tcW w:type="dxa" w:w="1134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+</w:t>
                  </w:r>
                </w:p>
              </w:tc>
              <w:tc>
                <w:tcPr>
                  <w:tcW w:type="dxa" w:w="1134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-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M0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ML / ε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MH / ε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MR / ε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M0 / ε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M0 / ε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ML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ML / ε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MH / ε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MR / ε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ML / e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ML / a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MH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ML / ε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MH / ε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MR / ε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MH / w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MH / k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MR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ML / ε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MH / ε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MR / ε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MR / o</w:t>
                  </w: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MR / u</w:t>
                  </w:r>
                </w:p>
              </w:tc>
            </w:tr>
          </w:tbl>
          <w:p>
            <w:pPr>
              <w:spacing w:after="140" w:before="0"/>
            </w:pPr>
          </w:p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3419475" cy="2990850"/>
                  <wp:effectExtent t="0" r="0" b="0" l="0"/>
                  <wp:docPr id="1" name="klausur_MS.png" descr="Zustandsgraph (gleichwertig zur Tabelle; keine Endzustände)" title="Zustandsgraph (gleichwertig zur Tabelle; keine Endzustände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19475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Zustandsgraph (gleichwertig zur Tabelle; keine Endzustände)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4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II</w:t>
            </w:r>
          </w:p>
        </w:tc>
      </w:tr>
      <w:tr>
        <w:trPr>
          <w:cantSplit w:val="false"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Jedes Kellerzeichen K steht für eine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geöffnete, noch nicht geschlossene Gruppe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(eine offene Klammer). Die Kellerhöhe ist die aktuelle Verschachtelungstiefe. Mit „(“ wird ein K abgelegt, mit „)“ eines entfernt; liegt beim Lesen von „)“ kein K oben, fehlt eine öffnende Klammer. Nur wenn am Ende ausschließlich # im Keller liegt (alle Gruppen geschlossen), ist der Übergang nach S2 möglich. (3 BE)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II</w:t>
            </w:r>
          </w:p>
        </w:tc>
      </w:tr>
      <w:tr>
        <w:trPr>
          <w:cantSplit w:val="false"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h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tbl>
            <w:tblPr>
              <w:tblW w:type="dxa" w:w="6918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021"/>
              <w:gridCol w:w="1928"/>
              <w:gridCol w:w="1814"/>
              <w:gridCol w:w="2155"/>
            </w:tblGrid>
            <w:tr>
              <w:trPr>
                <w:cantSplit/>
                <w:tblHeader/>
              </w:trPr>
              <w:tc>
                <w:tcPr>
                  <w:tcW w:type="dxa" w:w="1021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</w:rPr>
                    <w:t xml:space="preserve">Zustand</w:t>
                  </w:r>
                </w:p>
              </w:tc>
              <w:tc>
                <w:tcPr>
                  <w:tcW w:type="dxa" w:w="1928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</w:rPr>
                    <w:t xml:space="preserve">Belegung Kellerspeicher</w:t>
                  </w:r>
                </w:p>
              </w:tc>
              <w:tc>
                <w:tcPr>
                  <w:tcW w:type="dxa" w:w="1814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</w:rPr>
                    <w:t xml:space="preserve">oberstes Kellersymbol</w:t>
                  </w:r>
                </w:p>
              </w:tc>
              <w:tc>
                <w:tcPr>
                  <w:tcW w:type="dxa" w:w="2155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</w:rPr>
                    <w:t xml:space="preserve">verarbeitetes Eingabezeichen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02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S0</w:t>
                  </w:r>
                </w:p>
              </w:tc>
              <w:tc>
                <w:tcPr>
                  <w:tcW w:type="dxa" w:w="192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#</w:t>
                  </w:r>
                </w:p>
              </w:tc>
              <w:tc>
                <w:tcPr>
                  <w:tcW w:type="dxa" w:w="181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–</w:t>
                  </w:r>
                </w:p>
              </w:tc>
              <w:tc>
                <w:tcPr>
                  <w:tcW w:type="dxa" w:w="2155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–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02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S1</w:t>
                  </w:r>
                </w:p>
              </w:tc>
              <w:tc>
                <w:tcPr>
                  <w:tcW w:type="dxa" w:w="192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#</w:t>
                  </w:r>
                </w:p>
              </w:tc>
              <w:tc>
                <w:tcPr>
                  <w:tcW w:type="dxa" w:w="181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#</w:t>
                  </w:r>
                </w:p>
              </w:tc>
              <w:tc>
                <w:tcPr>
                  <w:tcW w:type="dxa" w:w="2155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B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02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S0</w:t>
                  </w:r>
                </w:p>
              </w:tc>
              <w:tc>
                <w:tcPr>
                  <w:tcW w:type="dxa" w:w="192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K#</w:t>
                  </w:r>
                </w:p>
              </w:tc>
              <w:tc>
                <w:tcPr>
                  <w:tcW w:type="dxa" w:w="181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#</w:t>
                  </w:r>
                </w:p>
              </w:tc>
              <w:tc>
                <w:tcPr>
                  <w:tcW w:type="dxa" w:w="2155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(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02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S0</w:t>
                  </w:r>
                </w:p>
              </w:tc>
              <w:tc>
                <w:tcPr>
                  <w:tcW w:type="dxa" w:w="192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KK#</w:t>
                  </w:r>
                </w:p>
              </w:tc>
              <w:tc>
                <w:tcPr>
                  <w:tcW w:type="dxa" w:w="181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K</w:t>
                  </w:r>
                </w:p>
              </w:tc>
              <w:tc>
                <w:tcPr>
                  <w:tcW w:type="dxa" w:w="2155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(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02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S1</w:t>
                  </w:r>
                </w:p>
              </w:tc>
              <w:tc>
                <w:tcPr>
                  <w:tcW w:type="dxa" w:w="192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KK#</w:t>
                  </w:r>
                </w:p>
              </w:tc>
              <w:tc>
                <w:tcPr>
                  <w:tcW w:type="dxa" w:w="181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K</w:t>
                  </w:r>
                </w:p>
              </w:tc>
              <w:tc>
                <w:tcPr>
                  <w:tcW w:type="dxa" w:w="2155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B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02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S1</w:t>
                  </w:r>
                </w:p>
              </w:tc>
              <w:tc>
                <w:tcPr>
                  <w:tcW w:type="dxa" w:w="192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K#</w:t>
                  </w:r>
                </w:p>
              </w:tc>
              <w:tc>
                <w:tcPr>
                  <w:tcW w:type="dxa" w:w="181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K</w:t>
                  </w:r>
                </w:p>
              </w:tc>
              <w:tc>
                <w:tcPr>
                  <w:tcW w:type="dxa" w:w="2155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)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02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S1</w:t>
                  </w:r>
                </w:p>
              </w:tc>
              <w:tc>
                <w:tcPr>
                  <w:tcW w:type="dxa" w:w="192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K#</w:t>
                  </w:r>
                </w:p>
              </w:tc>
              <w:tc>
                <w:tcPr>
                  <w:tcW w:type="dxa" w:w="181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K</w:t>
                  </w:r>
                </w:p>
              </w:tc>
              <w:tc>
                <w:tcPr>
                  <w:tcW w:type="dxa" w:w="2155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B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02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S1</w:t>
                  </w:r>
                </w:p>
              </w:tc>
              <w:tc>
                <w:tcPr>
                  <w:tcW w:type="dxa" w:w="192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#</w:t>
                  </w:r>
                </w:p>
              </w:tc>
              <w:tc>
                <w:tcPr>
                  <w:tcW w:type="dxa" w:w="181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K</w:t>
                  </w:r>
                </w:p>
              </w:tc>
              <w:tc>
                <w:tcPr>
                  <w:tcW w:type="dxa" w:w="2155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)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02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S2</w:t>
                  </w:r>
                </w:p>
              </w:tc>
              <w:tc>
                <w:tcPr>
                  <w:tcW w:type="dxa" w:w="192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#</w:t>
                  </w:r>
                </w:p>
              </w:tc>
              <w:tc>
                <w:tcPr>
                  <w:tcW w:type="dxa" w:w="181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#</w:t>
                  </w:r>
                </w:p>
              </w:tc>
              <w:tc>
                <w:tcPr>
                  <w:tcW w:type="dxa" w:w="2155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7"/>
                      <w:szCs w:val="17"/>
                    </w:rPr>
                    <w:t xml:space="preserve">ε</w:t>
                  </w:r>
                </w:p>
              </w:tc>
            </w:tr>
          </w:tbl>
          <w:p>
            <w:pPr>
              <w:spacing w:after="140" w:before="0"/>
            </w:pP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Eingabe wird akzeptiert: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ja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(S2 ist Endzustand, Eingabe vollständig gelesen). (Zeilen 3 BE, Abschluss mit ε-Übergang und Entscheidung 1 BE)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4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</w:t>
            </w:r>
          </w:p>
        </w:tc>
      </w:tr>
      <w:tr>
        <w:trPr>
          <w:cantSplit w:val="false"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Annahme: Es gibt einen endlichen Automaten mit k Zuständen, der genau die Szenen akzeptiert. Betrachtet werden die k + 1 Eingaben (, ((, …, (ᵏ⁺¹. Nach dem Schubfachprinzip führen zwei davon, (ⁱ und (ʲ mit i ≠ j, in denselben Zustand. Dann behandelt der Automat die Fortsetzung B)ⁱ in beiden Fällen gleich: (ⁱB)ⁱ ist eine Szene und wird akzeptiert, also wird auch (ʲB)ⁱ akzeptiert – das ist aber keine Szene (Klammern nicht ausgeglichen). Widerspruch; ein endlicher Automat kann die unbeschränkte Verschachtelungstiefe nicht zählen. (Annahme und Schubfachargument 2 BE, Fortsetzung und Widerspruch 2 BE)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4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III</w:t>
            </w:r>
          </w:p>
        </w:tc>
      </w:tr>
      <w:tr>
        <w:trPr>
          <w:cantSplit w:val="false"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j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Zustand ↔ Nichtterminal, z. B. S = Gerät erwartet, A = Aktionszeichen erwartet, B = Befehl vollständig. N = {S, A, B}, T = {L, H, R, +, -}, Startsymbol S,</w:t>
            </w:r>
          </w:p>
          <w:p>
            <w:pPr>
              <w:spacing w:after="100" w:before="0" w:line="276"/>
              <w:ind w:left="30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 → LA | HA | RA      A → +B | -B      B → +B | -B | LA | HA | RA | ε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(oder gleichwertig). Alle Regeln haben die Form X → aY, X → a oder X → ε. Prüfung: S ⇒ LA ⇒ L+B ⇒ L+RA ⇒ L+R-B ⇒ L+R--B ⇒ L+R--. (N, T, S 1 BE, Regeln 2 BE, rechtsreguläre Form 1 BE)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4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II</w:t>
            </w:r>
          </w:p>
        </w:tc>
      </w:tr>
      <w:tr>
        <w:trPr>
          <w:cantSplit w:val="false"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 ⇒ BS ⇒ B(S) ⇒ B((S)S) ⇒ B((B)S) ⇒ B((B)B)   (Regeln: S → BS, S → (S), S → (S)S, S → B, S → B)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2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</w:t>
            </w:r>
          </w:p>
        </w:tc>
      </w:tr>
      <w:tr>
        <w:trPr>
          <w:cantSplit w:val="false"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Eine reguläre (rechtsreguläre) Grammatik erlaubt nur Regeln der Form A → aB, A → a oder A → ε. Die Regeln S → (S)S und S → (S) enthalten das Nichtterminal S zwischen bzw. vor Terminalsymbolen – damit ist G nicht regulär. (Alternativ: zwei Nichtterminale in einer rechten Seite.)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2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</w:t>
            </w:r>
          </w:p>
        </w:tc>
      </w:tr>
      <w:tr>
        <w:trPr>
          <w:cantSplit w:val="false"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m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Eine Gruppe muss nun mindestens zwei Elemente enthalten, z. B. mit einem Nichtterminal E für Elemente:</w:t>
            </w:r>
          </w:p>
          <w:p>
            <w:pPr>
              <w:spacing w:after="100" w:before="0" w:line="276"/>
              <w:ind w:left="30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 → ES | E      E → B | (ES)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(ES) erzwingt mindestens ein Element E und eine weitere Szene S mit mindestens einem Element. Beispiele: (BB), B(B(BB)); nicht mehr erzeugbar: (B). Gleichwertige Lösungen (z. B. S → BS | B | (SS)S | (SS) mit S → … ) sind zulässig, wenn ( ) genau Szenen mit mindestens zwei Elementen umschließt.</w:t>
            </w:r>
          </w:p>
        </w:tc>
        <w:tc>
          <w:tcPr>
            <w:tcW w:type="dxa" w:w="567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2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II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Bewertungstabelle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041"/>
        <w:gridCol w:w="5103"/>
        <w:gridCol w:w="1021"/>
        <w:gridCol w:w="1701"/>
      </w:tblGrid>
      <w:tr>
        <w:trPr>
          <w:cantSplit/>
          <w:tblHeader/>
        </w:trPr>
        <w:tc>
          <w:tcPr>
            <w:tcW w:type="dxa" w:w="204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Anforderungsbereich</w:t>
            </w:r>
          </w:p>
        </w:tc>
        <w:tc>
          <w:tcPr>
            <w:tcW w:type="dxa" w:w="510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Teilaufgaben</w:t>
            </w:r>
          </w:p>
        </w:tc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Anteil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AFB I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 (4), e teilweise (2), h (4), k (2), l (2)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14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31 %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AFB II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 (3), c (4), e teilweise (2), f (4), g (3), j (4), m (2)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22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49 %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AFB III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d (5), i (4)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9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20 %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Gesamt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45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100 %</w:t>
            </w:r>
          </w:p>
        </w:tc>
      </w:tr>
    </w:tbl>
    <w:p>
      <w:pPr>
        <w:spacing w:after="140" w:before="0"/>
      </w:pPr>
    </w:p>
    <w:tbl>
      <w:tblPr>
        <w:tblW w:type="dxa" w:w="9858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47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</w:tblGrid>
      <w:tr>
        <w:trPr>
          <w:cantSplit/>
          <w:tblHeader/>
        </w:trPr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Notenpunkte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15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14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13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12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11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10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9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8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7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6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5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4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</w:t>
            </w:r>
          </w:p>
        </w:tc>
        <w:tc>
          <w:tcPr>
            <w:tcW w:type="dxa" w:w="5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7"/>
                <w:szCs w:val="17"/>
              </w:rPr>
              <w:t xml:space="preserve">ab BE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43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41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39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36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34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32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30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27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25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23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21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18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15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13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9</w:t>
            </w:r>
          </w:p>
        </w:tc>
        <w:tc>
          <w:tcPr>
            <w:tcW w:type="dxa" w:w="5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0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Zuordnung nach dem Prozentschema der EB-Bewertung (15 NP ab 95 %, 14 ab 90 %, … 5 ab 45 %, 4 ab 40 %, 3 ab 33 %, 2 ab 27 %, 1 ab 20 %), BE aufgerundet.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Hinweise zur Korrektur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Gleichwertige Lösungen (andere Zustandsnamen, andere Nichtterminale, zusätzliche Zustände mit korrektem Verhalten) werden voll gewertet; fehlender Fehlerzustand-Hinweis bei entwickelten Automaten: 1 BE Abzug je Automat.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Teil c (Zählteil, 2 BE): Anzahl 12 ohne Begründung über die Struktur (Gerät, dann zwei Aktionszeichen): höchstens 1 BE; das Aufzählen aller zwölf Wörter gilt als vollständige Lösung des Zählteils. Die Begründung „endet mit einem Aktionszeichen“ (2 BE) wird gesondert bewertet.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Teil h: Ein Fehler in der Kellerbelegung, der konsequent weitergeführt wird, kostet nur 1 BE (Folgefehler).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Teil i: Argumentation mit „der Automat müsste unendlich viele Klammern zählen“ ohne Schubfachprinzip: höchstens 2 BE.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Übungsklausur · Erwartungshorizont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1a831b1a18a550aaf5c1eb778194974847bcf76.png"/><Relationship Id="rId10" Type="http://schemas.openxmlformats.org/officeDocument/2006/relationships/image" Target="media/8b90cd6f94562d688c015225c375612d9486ab1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Erwartungshorizont „Smart-Home-Befehle“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2026-10-14T16:08:31.943Z</dcterms:created>
  <dcterms:modified xsi:type="dcterms:W3CDTF">2026-10-14T16:08:31.943Z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