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031"/>
        <w:gridCol w:w="2835"/>
      </w:tblGrid>
      <w:tr>
        <w:tc>
          <w:tcPr>
            <w:tcW w:type="dxa" w:w="70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26A0F"/>
                <w:sz w:val="18"/>
                <w:szCs w:val="18"/>
              </w:rPr>
              <w:t xml:space="preserve">Erwartungshorizont</w:t>
            </w: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   Welt A · Endliche Automaten  ·  Niveau: gA und eA</w:t>
            </w:r>
          </w:p>
          <w:p>
            <w:pPr>
              <w:spacing w:after="40" w:before="20"/>
            </w:pPr>
            <w:r>
              <w:rPr>
                <w:rFonts w:ascii="Cambria" w:cs="Cambria" w:eastAsia="Cambria" w:hAnsi="Cambria"/>
                <w:b/>
                <w:bCs/>
                <w:color w:val="0E6455"/>
                <w:sz w:val="40"/>
                <w:szCs w:val="40"/>
              </w:rPr>
              <w:t xml:space="preserve">Boss-Level A: Pixel-Ninja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5B6770"/>
                <w:sz w:val="22"/>
                <w:szCs w:val="22"/>
              </w:rPr>
              <w:t xml:space="preserve">Erwartungshorizont mit BE und Anforderungsbereichen – zur Selbstkontrolle</w:t>
            </w:r>
          </w:p>
        </w:tc>
        <w:tc>
          <w:tcPr>
            <w:tcW w:type="dxa" w:w="28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20"/>
              <w:bottom w:type="dxa" w:w="0"/>
              <w:right w:type="dxa" w:w="0"/>
            </w:tcMar>
            <w:vAlign w:val="bottom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25 BE</w:t>
            </w:r>
          </w:p>
        </w:tc>
      </w:tr>
    </w:tbl>
    <w:p>
      <w:pPr>
        <w:pBdr>
          <w:bottom w:val="single" w:color="0E6455" w:sz="12" w:space="1"/>
        </w:pBdr>
        <w:spacing w:after="200" w:before="60"/>
      </w:pPr>
    </w:p>
    <w:p>
      <w:pPr>
        <w:spacing w:after="100" w:before="0" w:line="276"/>
        <w:jc w:val="left"/>
      </w:pPr>
      <w:r>
        <w:rPr>
          <w:rFonts w:ascii="Calibri" w:cs="Calibri" w:eastAsia="Calibri" w:hAnsi="Calibri"/>
          <w:color w:val="1F2A2E"/>
          <w:sz w:val="20"/>
          <w:szCs w:val="20"/>
        </w:rPr>
        <w:t xml:space="preserve">Der Erwartungshorizont beschreibt die erwartete Leistung. Gleichwertige, fachlich korrekte Lösungen (andere Zustandsnamen, andere unterscheidende Wörter, andere Darstellungsform) werden ebenso bewertet.</w:t>
      </w:r>
    </w:p>
    <w:tbl>
      <w:tblPr>
        <w:tblW w:type="dxa" w:w="9866"/>
        <w:tblBorders>
          <w:top w:val="single" w:color="C9D3D6" w:sz="4"/>
          <w:left w:val="single" w:color="C9D3D6" w:sz="4"/>
          <w:bottom w:val="single" w:color="C9D3D6" w:sz="4"/>
          <w:right w:val="single" w:color="C9D3D6" w:sz="4"/>
          <w:insideH w:val="single" w:color="C9D3D6" w:sz="4"/>
          <w:insideV w:val="single" w:color="C9D3D6" w:sz="4"/>
        </w:tblBorders>
        <w:tblLayout w:type="fixed"/>
      </w:tblPr>
      <w:tblGrid>
        <w:gridCol w:w="794"/>
        <w:gridCol w:w="6577"/>
        <w:gridCol w:w="1021"/>
        <w:gridCol w:w="1474"/>
      </w:tblGrid>
      <w:tr>
        <w:trPr>
          <w:cantSplit/>
          <w:tblHeader/>
        </w:trPr>
        <w:tc>
          <w:tcPr>
            <w:tcW w:type="dxa" w:w="794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Teil</w:t>
            </w:r>
          </w:p>
        </w:tc>
        <w:tc>
          <w:tcPr>
            <w:tcW w:type="dxa" w:w="6577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Anforderung</w:t>
            </w:r>
          </w:p>
        </w:tc>
        <w:tc>
          <w:tcPr>
            <w:tcW w:type="dxa" w:w="1021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BE</w:t>
            </w:r>
          </w:p>
        </w:tc>
        <w:tc>
          <w:tcPr>
            <w:tcW w:type="dxa" w:w="1474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AFB</w:t>
            </w:r>
          </w:p>
        </w:tc>
      </w:tr>
      <w:tr>
        <w:trPr>
          <w:cantSplit/>
          <w:tblHeader w:val="false"/>
        </w:trPr>
        <w:tc>
          <w:tcPr>
            <w:tcW w:type="dxa" w:w="79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a)</w:t>
            </w:r>
          </w:p>
        </w:tc>
        <w:tc>
          <w:tcPr>
            <w:tcW w:type="dxa" w:w="657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Verarbeitung darstellen</w:t>
            </w:r>
          </w:p>
        </w:tc>
        <w:tc>
          <w:tcPr>
            <w:tcW w:type="dxa" w:w="102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2</w:t>
            </w:r>
          </w:p>
        </w:tc>
        <w:tc>
          <w:tcPr>
            <w:tcW w:type="dxa" w:w="147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I</w:t>
            </w:r>
          </w:p>
        </w:tc>
      </w:tr>
      <w:tr>
        <w:trPr>
          <w:cantSplit/>
          <w:tblHeader w:val="false"/>
        </w:trPr>
        <w:tc>
          <w:tcPr>
            <w:tcW w:type="dxa" w:w="79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b)</w:t>
            </w:r>
          </w:p>
        </w:tc>
        <w:tc>
          <w:tcPr>
            <w:tcW w:type="dxa" w:w="657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Bedeutung eines Zustands erläutern, Übergang begründen</w:t>
            </w:r>
          </w:p>
        </w:tc>
        <w:tc>
          <w:tcPr>
            <w:tcW w:type="dxa" w:w="102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3</w:t>
            </w:r>
          </w:p>
        </w:tc>
        <w:tc>
          <w:tcPr>
            <w:tcW w:type="dxa" w:w="147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I–II</w:t>
            </w:r>
          </w:p>
        </w:tc>
      </w:tr>
      <w:tr>
        <w:trPr>
          <w:cantSplit/>
          <w:tblHeader w:val="false"/>
        </w:trPr>
        <w:tc>
          <w:tcPr>
            <w:tcW w:type="dxa" w:w="79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c)</w:t>
            </w:r>
          </w:p>
        </w:tc>
        <w:tc>
          <w:tcPr>
            <w:tcW w:type="dxa" w:w="657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Mindestzahl von Zuständen begründen</w:t>
            </w:r>
          </w:p>
        </w:tc>
        <w:tc>
          <w:tcPr>
            <w:tcW w:type="dxa" w:w="102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3</w:t>
            </w:r>
          </w:p>
        </w:tc>
        <w:tc>
          <w:tcPr>
            <w:tcW w:type="dxa" w:w="147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II–III</w:t>
            </w:r>
          </w:p>
        </w:tc>
      </w:tr>
      <w:tr>
        <w:trPr>
          <w:cantSplit/>
          <w:tblHeader w:val="false"/>
        </w:trPr>
        <w:tc>
          <w:tcPr>
            <w:tcW w:type="dxa" w:w="79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d)</w:t>
            </w:r>
          </w:p>
        </w:tc>
        <w:tc>
          <w:tcPr>
            <w:tcW w:type="dxa" w:w="657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DEA entwickeln</w:t>
            </w:r>
          </w:p>
        </w:tc>
        <w:tc>
          <w:tcPr>
            <w:tcW w:type="dxa" w:w="102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4</w:t>
            </w:r>
          </w:p>
        </w:tc>
        <w:tc>
          <w:tcPr>
            <w:tcW w:type="dxa" w:w="147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II</w:t>
            </w:r>
          </w:p>
        </w:tc>
      </w:tr>
      <w:tr>
        <w:trPr>
          <w:cantSplit/>
          <w:tblHeader w:val="false"/>
        </w:trPr>
        <w:tc>
          <w:tcPr>
            <w:tcW w:type="dxa" w:w="79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e)</w:t>
            </w:r>
          </w:p>
        </w:tc>
        <w:tc>
          <w:tcPr>
            <w:tcW w:type="dxa" w:w="657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Zustände zusammenfassen</w:t>
            </w:r>
          </w:p>
        </w:tc>
        <w:tc>
          <w:tcPr>
            <w:tcW w:type="dxa" w:w="102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5</w:t>
            </w:r>
          </w:p>
        </w:tc>
        <w:tc>
          <w:tcPr>
            <w:tcW w:type="dxa" w:w="147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II</w:t>
            </w:r>
          </w:p>
        </w:tc>
      </w:tr>
      <w:tr>
        <w:trPr>
          <w:cantSplit/>
          <w:tblHeader w:val="false"/>
        </w:trPr>
        <w:tc>
          <w:tcPr>
            <w:tcW w:type="dxa" w:w="79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f)</w:t>
            </w:r>
          </w:p>
        </w:tc>
        <w:tc>
          <w:tcPr>
            <w:tcW w:type="dxa" w:w="657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Mealy-Automat analysieren, mit DEA vergleichen</w:t>
            </w:r>
          </w:p>
        </w:tc>
        <w:tc>
          <w:tcPr>
            <w:tcW w:type="dxa" w:w="102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5</w:t>
            </w:r>
          </w:p>
        </w:tc>
        <w:tc>
          <w:tcPr>
            <w:tcW w:type="dxa" w:w="147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I–II</w:t>
            </w:r>
          </w:p>
        </w:tc>
      </w:tr>
      <w:tr>
        <w:trPr>
          <w:cantSplit/>
          <w:tblHeader w:val="false"/>
        </w:trPr>
        <w:tc>
          <w:tcPr>
            <w:tcW w:type="dxa" w:w="79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g)</w:t>
            </w:r>
          </w:p>
        </w:tc>
        <w:tc>
          <w:tcPr>
            <w:tcW w:type="dxa" w:w="657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Mealy-Automat verändern</w:t>
            </w:r>
          </w:p>
        </w:tc>
        <w:tc>
          <w:tcPr>
            <w:tcW w:type="dxa" w:w="102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3</w:t>
            </w:r>
          </w:p>
        </w:tc>
        <w:tc>
          <w:tcPr>
            <w:tcW w:type="dxa" w:w="147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II–III</w:t>
            </w:r>
          </w:p>
        </w:tc>
      </w:tr>
      <w:tr>
        <w:trPr>
          <w:cantSplit/>
          <w:tblHeader w:val="false"/>
        </w:trPr>
        <w:tc>
          <w:tcPr>
            <w:tcW w:type="dxa" w:w="79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657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Summe</w:t>
            </w:r>
          </w:p>
        </w:tc>
        <w:tc>
          <w:tcPr>
            <w:tcW w:type="dxa" w:w="102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25</w:t>
            </w:r>
          </w:p>
        </w:tc>
        <w:tc>
          <w:tcPr>
            <w:tcW w:type="dxa" w:w="147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</w:tr>
    </w:tbl>
    <w:p>
      <w:pPr>
        <w:spacing w:after="140" w:before="0"/>
      </w:pP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B26A0F"/>
          <w:sz w:val="23"/>
          <w:szCs w:val="23"/>
        </w:rPr>
        <w:t xml:space="preserve">a)  Verarbeitung darstellen  –  2 BE · AFB I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uuvA: S0 –u→ S1 –u→ S1 –v→ S2 –A→ S3 ⇒ S3 ist Endzustand, die Eingabe wird akzeptiert (Wirbelwind). (1 BE)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uvuA: S0 –u→ S1 –v→ S2 –u→ S1 –A→ S0 ⇒ S0 ist kein Endzustand, die Eingabe wird abgelehnt. (1 BE)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B26A0F"/>
          <w:sz w:val="23"/>
          <w:szCs w:val="23"/>
        </w:rPr>
        <w:t xml:space="preserve">b)  Bedeutung eines Zustands erläutern, Übergang begründen  –  3 BE · AFB I–II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Der Automat ist genau dann in S2, wenn die letzten beiden Eingaben u und v waren (und noch kein Wirbelwind ausgelöst wurde): Zwei Drittel der Kombination sind eingegeben, ein A würde den Wirbelwind auslösen. (1 BE, AFB I)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Ein u in S2 bricht die laufende Kombination ab, kann aber selbst der Beginn einer neuen Kombination u, v, A sein. Der Automat muss sich also „zuletzt u“ merken – das ist S1. (1 BE)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Gegenbeispiel bei Übergang nach S0: Die Eingabe uvuvA würde abgelehnt (S0 –u→ S1 –v→ S2 –u→ S0 –v→ S0 –A→ S0), obwohl sie auf uvA endet. (1 BE, AFB II)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B26A0F"/>
          <w:sz w:val="23"/>
          <w:szCs w:val="23"/>
        </w:rPr>
        <w:t xml:space="preserve">c)  Mindestzahl von Zuständen begründen  –  3 BE · AFB II–III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Die Eingabefolgen ε, u, uv und uvA sind paarweise unterscheidbar. Daher muss sich jeder solche Automat nach ihnen in vier verschiedenen Zuständen befinden. (1 BE)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Unterscheidende Wörter (je Paar): ε/u: 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vA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· ε/uv: 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A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· u/uv: 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A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· ε/uvA, u/uvA, uv/uvA: ε (uvA wird akzeptiert, die anderen nicht). Beispiel: u + A = uA wird abgelehnt, uv + A = uvA akzeptiert. (2 BE)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Hinweis: Ein Automat mit vier Zuständen (Abbildung 1) belegt nur, dass vier Zustände genügen – für „mindestens“ ist die Unterscheidbarkeit nötig.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B26A0F"/>
          <w:sz w:val="23"/>
          <w:szCs w:val="23"/>
        </w:rPr>
        <w:t xml:space="preserve">d)  DEA entwickeln  –  4 BE · AFB II</w:t>
      </w:r>
    </w:p>
    <w:p>
      <w:pPr>
        <w:keepNext/>
        <w:spacing w:after="20" w:before="60"/>
        <w:jc w:val="center"/>
      </w:pPr>
      <w:r>
        <w:drawing>
          <wp:inline distT="0" distB="0" distL="0" distR="0">
            <wp:extent cx="4495800" cy="1257300"/>
            <wp:effectExtent t="0" r="0" b="0" l="0"/>
            <wp:docPr id="1" name="boss_D.png" descr="Möglicher Automat: S1 „zuletzt u oder v“, S2 „zuletzt uv oder vv“, S3 „Wirbelwind“" title="Möglicher Automat: S1 „zuletzt u oder v“, S2 „zuletzt uv oder vv“, S3 „Wirbelwind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95800" cy="125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 w:before="0" w:line="276"/>
        <w:jc w:val="center"/>
      </w:pPr>
      <w:r>
        <w:rPr>
          <w:rFonts w:ascii="Calibri" w:cs="Calibri" w:eastAsia="Calibri" w:hAnsi="Calibri"/>
          <w:i/>
          <w:iCs/>
          <w:color w:val="5B6770"/>
          <w:sz w:val="18"/>
          <w:szCs w:val="18"/>
        </w:rPr>
        <w:t xml:space="preserve">Möglicher Automat: S1 „zuletzt u oder v“, S2 „zuletzt uv oder vv“, S3 „Wirbelwind“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Bewertung: Zustände mit sinnvoller Bedeutung (1 BE), korrekte Übergänge zum Endzustand (1 BE), korrekte Rücksprünge – insbesondere S2 –v→ S2 (vv bleibt „zwei passende Zeichen“) und S3 –u, v→ S1 (1 BE), Vollständigkeit / Start- und Endzustand (1 BE).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Der Automat wurde gegen die Regel für alle Eingaben bis Länge 8 geprüft; er ist minimal (vier Zustände).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B26A0F"/>
          <w:sz w:val="23"/>
          <w:szCs w:val="23"/>
        </w:rPr>
        <w:t xml:space="preserve">e)  Zustände zusammenfassen  –  5 BE · AFB II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S5 ist der einzige Endzustand und daher von allen anderen Zuständen unterscheidbar (Wort ε). (1 BE)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S0 (noch kein A) ist von S1, S2 unterscheidbar durch 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Av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und von S3, S4 durch 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v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. S1, S2 (genau ein A) sind von S3, S4 (mindestens zwei A) durch 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v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unterscheidbar. (1 BE)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S1 und S2 sind äquivalent: Beide bedeuten „genau ein A gedrückt“; ob die letzte Eingabe A oder ein Stick war, ist ohne Bedeutung, denn akzeptiert werden kann erst nach einem weiteren A. Beide gehen mit A nach S3, mit u und v nach S2. (1 BE)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S3 und S4 sind äquivalent: Beide bedeuten „mindestens zwei A, letzte Eingabe nicht v“. Beide gehen mit A nach S3, mit u nach S4 und mit v nach S5. (1 BE)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Alternativ: Markierungsverfahren (Dreieckstabelle unten). Vereinfachter Automat mit vier Zuständen (1 BE):</w:t>
      </w:r>
    </w:p>
    <w:p>
      <w:pPr>
        <w:keepNext/>
        <w:spacing w:after="20" w:before="60"/>
        <w:jc w:val="center"/>
      </w:pPr>
      <w:r>
        <w:drawing>
          <wp:inline distT="0" distB="0" distL="0" distR="0">
            <wp:extent cx="1943100" cy="1619250"/>
            <wp:effectExtent t="0" r="0" b="0" l="0"/>
            <wp:docPr id="1" name="boss_T_tabelle.png" descr="Markierungsverfahren für T: frei bleiben (S1, S2) und (S3, S4)" title="Markierungsverfahren für T: frei bleiben (S1, S2) und (S3, S4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3100" cy="161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 w:before="0" w:line="276"/>
        <w:jc w:val="center"/>
      </w:pPr>
      <w:r>
        <w:rPr>
          <w:rFonts w:ascii="Calibri" w:cs="Calibri" w:eastAsia="Calibri" w:hAnsi="Calibri"/>
          <w:i/>
          <w:iCs/>
          <w:color w:val="5B6770"/>
          <w:sz w:val="18"/>
          <w:szCs w:val="18"/>
        </w:rPr>
        <w:t xml:space="preserve">Markierungsverfahren für T: frei bleiben (S1, S2) und (S3, S4)</w:t>
      </w:r>
    </w:p>
    <w:p>
      <w:pPr>
        <w:keepNext/>
        <w:spacing w:after="20" w:before="60"/>
        <w:jc w:val="center"/>
      </w:pPr>
      <w:r>
        <w:drawing>
          <wp:inline distT="0" distB="0" distL="0" distR="0">
            <wp:extent cx="4143375" cy="819150"/>
            <wp:effectExtent t="0" r="0" b="0" l="0"/>
            <wp:docPr id="1" name="boss_T_min.png" descr="Vereinfachter Automat: {S1, S2} → S1, {S3, S4} → S3" title="Vereinfachter Automat: {S1, S2} → S1, {S3, S4} → S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3375" cy="81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 w:before="0" w:line="276"/>
        <w:jc w:val="center"/>
      </w:pPr>
      <w:r>
        <w:rPr>
          <w:rFonts w:ascii="Calibri" w:cs="Calibri" w:eastAsia="Calibri" w:hAnsi="Calibri"/>
          <w:i/>
          <w:iCs/>
          <w:color w:val="5B6770"/>
          <w:sz w:val="18"/>
          <w:szCs w:val="18"/>
        </w:rPr>
        <w:t xml:space="preserve">Vereinfachter Automat: {S1, S2} → S1, {S3, S4} → S3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B26A0F"/>
          <w:sz w:val="23"/>
          <w:szCs w:val="23"/>
        </w:rPr>
        <w:t xml:space="preserve">f)  Mealy-Automat analysieren, mit DEA vergleichen  –  5 BE · AFB I–II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Ausgabe: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dsWsdsW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(S0 –u / d→ S1 –v / s→ S2 –A / W→ S0 –v / s→ S0 –u / d→ S1 –v / s→ S2 –A / W→ S0). (1 BE, AFB I)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Gemeinsamkeiten: gleiches Eingabealphabet, endlich viele Zustände, Startzustand S0, deterministisch, vollständig. Unterschiede: M hat ein Ausgabealphabet und liefert bei jedem Übergang eine Ausgabe; M hat keine Endzustände, W liefert nur „akzeptiert/abgelehnt“ am Ende. (2 BE)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W muss den ausgelösten Wirbelwind als Zustand speichern (Endzustand S3), denn die Akzeptanz hängt vom Zustand nach dem letzten Zeichen ab. M gibt W direkt beim Übergang S2 –A / W→ aus. Danach verhält sich der Automat wie in S0 (in W hat S3 dieselben Übergänge wie S0, unterscheidet sich nur als Endzustand) – S3 und S0 fallen also bei M zusammen. (2 BE, AFB II)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B26A0F"/>
          <w:sz w:val="23"/>
          <w:szCs w:val="23"/>
        </w:rPr>
        <w:t xml:space="preserve">g)  Mealy-Automat verändern  –  3 BE · AFB II–III</w:t>
      </w:r>
    </w:p>
    <w:p>
      <w:pPr>
        <w:keepNext/>
        <w:spacing w:after="20" w:before="60"/>
        <w:jc w:val="center"/>
      </w:pPr>
      <w:r>
        <w:drawing>
          <wp:inline distT="0" distB="0" distL="0" distR="0">
            <wp:extent cx="4495800" cy="1371600"/>
            <wp:effectExtent t="0" r="0" b="0" l="0"/>
            <wp:docPr id="1" name="boss_M2.png" descr="Veränderter Mealy-Automat mit Pausenzustand S3" title="Veränderter Mealy-Automat mit Pausenzustand S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95800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 w:before="0" w:line="276"/>
        <w:jc w:val="center"/>
      </w:pPr>
      <w:r>
        <w:rPr>
          <w:rFonts w:ascii="Calibri" w:cs="Calibri" w:eastAsia="Calibri" w:hAnsi="Calibri"/>
          <w:i/>
          <w:iCs/>
          <w:color w:val="5B6770"/>
          <w:sz w:val="18"/>
          <w:szCs w:val="18"/>
        </w:rPr>
        <w:t xml:space="preserve">Veränderter Mealy-Automat mit Pausenzustand S3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Neuer Zustand S3 „Pause aktiv“: S2 –A / W→ S3 (statt nach S0). (1 BE)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In S3: u / d und v / s (Stickbewegungen werden ausgeführt, Zustand bleibt S3); A / ε → S0 (Angriff wird ignoriert, Pause endet). (2 BE)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Kontrolle (Code): 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uvAAA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→ 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dsWa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; 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uvAuvAA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→ 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dsWdsa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– auch ein während der Pause eingegebenes u, v, A löst keinen Wirbelwind aus, weil das A die Pause beendet.</w:t>
      </w:r>
    </w:p>
    <w:p>
      <w:pPr>
        <w:keepNext/>
        <w:spacing w:after="100" w:before="260"/>
      </w:pPr>
      <w:r>
        <w:rPr>
          <w:rFonts w:ascii="Cambria" w:cs="Cambria" w:eastAsia="Cambria" w:hAnsi="Cambria"/>
          <w:b/>
          <w:bCs/>
          <w:color w:val="0E6455"/>
          <w:sz w:val="27"/>
          <w:szCs w:val="27"/>
        </w:rPr>
        <w:t xml:space="preserve">Selbsteinschätzung</w:t>
      </w:r>
    </w:p>
    <w:tbl>
      <w:tblPr>
        <w:tblW w:type="dxa" w:w="9866"/>
        <w:tblBorders>
          <w:top w:val="single" w:color="C9D3D6" w:sz="4"/>
          <w:left w:val="single" w:color="C9D3D6" w:sz="4"/>
          <w:bottom w:val="single" w:color="C9D3D6" w:sz="4"/>
          <w:right w:val="single" w:color="C9D3D6" w:sz="4"/>
          <w:insideH w:val="single" w:color="C9D3D6" w:sz="4"/>
          <w:insideV w:val="single" w:color="C9D3D6" w:sz="4"/>
        </w:tblBorders>
        <w:tblLayout w:type="fixed"/>
      </w:tblPr>
      <w:tblGrid>
        <w:gridCol w:w="1474"/>
        <w:gridCol w:w="3402"/>
        <w:gridCol w:w="4990"/>
      </w:tblGrid>
      <w:tr>
        <w:trPr>
          <w:cantSplit/>
          <w:tblHeader/>
        </w:trPr>
        <w:tc>
          <w:tcPr>
            <w:tcW w:type="dxa" w:w="1474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Erreichte BE</w:t>
            </w:r>
          </w:p>
        </w:tc>
        <w:tc>
          <w:tcPr>
            <w:tcW w:type="dxa" w:w="3402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Einschätzung</w:t>
            </w:r>
          </w:p>
        </w:tc>
        <w:tc>
          <w:tcPr>
            <w:tcW w:type="dxa" w:w="4990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Nächster Schritt</w:t>
            </w:r>
          </w:p>
        </w:tc>
      </w:tr>
      <w:tr>
        <w:trPr>
          <w:cantSplit/>
          <w:tblHeader w:val="false"/>
        </w:trPr>
        <w:tc>
          <w:tcPr>
            <w:tcW w:type="dxa" w:w="147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21–25</w:t>
            </w:r>
          </w:p>
        </w:tc>
        <w:tc>
          <w:tcPr>
            <w:tcW w:type="dxa" w:w="340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Boss besiegt! Welt A sicher gemeistert.</w:t>
            </w:r>
          </w:p>
        </w:tc>
        <w:tc>
          <w:tcPr>
            <w:tcW w:type="dxa" w:w="499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Weiter in Welt B; als Extra: Original Abi 2024 eA B (Nachschreibtermin) a–c.</w:t>
            </w:r>
          </w:p>
        </w:tc>
      </w:tr>
      <w:tr>
        <w:trPr>
          <w:cantSplit/>
          <w:tblHeader w:val="false"/>
        </w:trPr>
        <w:tc>
          <w:tcPr>
            <w:tcW w:type="dxa" w:w="147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14–20</w:t>
            </w:r>
          </w:p>
        </w:tc>
        <w:tc>
          <w:tcPr>
            <w:tcW w:type="dxa" w:w="340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Boss besiegt – mit Schrammen.</w:t>
            </w:r>
          </w:p>
        </w:tc>
        <w:tc>
          <w:tcPr>
            <w:tcW w:type="dxa" w:w="499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Teilaufgaben mit Punktverlust nachbearbeiten; passende Merkblätter (M01–M04) wiederholen.</w:t>
            </w:r>
          </w:p>
        </w:tc>
      </w:tr>
      <w:tr>
        <w:trPr>
          <w:cantSplit/>
          <w:tblHeader w:val="false"/>
        </w:trPr>
        <w:tc>
          <w:tcPr>
            <w:tcW w:type="dxa" w:w="147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0–13</w:t>
            </w:r>
          </w:p>
        </w:tc>
        <w:tc>
          <w:tcPr>
            <w:tcW w:type="dxa" w:w="340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Der Boss war diesmal stärker.</w:t>
            </w:r>
          </w:p>
        </w:tc>
        <w:tc>
          <w:tcPr>
            <w:tcW w:type="dxa" w:w="499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Fehler mit dem Erwartungshorizont analysieren, App-Module Minimierer und Mealy-Maschine wiederholen, Fragen in Level 7 stellen.</w:t>
            </w:r>
          </w:p>
        </w:tc>
      </w:tr>
    </w:tbl>
    <w:p>
      <w:pPr>
        <w:spacing w:after="140" w:before="0"/>
      </w:pPr>
    </w:p>
    <w:sectPr>
      <w:headerReference w:type="default" r:id="rId7"/>
      <w:footerReference w:type="default" r:id="rId8"/>
      <w:pgSz w:w="11906" w:h="16838" w:orient="portrait"/>
      <w:pgMar w:top="900" w:right="1020" w:bottom="900" w:left="1020" w:header="450" w:footer="45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866"/>
      </w:tabs>
    </w:pPr>
    <w:r>
      <w:rPr>
        <w:rFonts w:ascii="Calibri" w:cs="Calibri" w:eastAsia="Calibri" w:hAnsi="Calibri"/>
        <w:color w:val="5B6770"/>
        <w:sz w:val="16"/>
        <w:szCs w:val="16"/>
      </w:rPr>
      <w:t xml:space="preserve">Max-Planck-Gymnasium Delmenhorst  ·  Boss-Level A · Erwartungshorizont  ·  CC BY-SA 4.0 Frank Juchim</w:t>
    </w:r>
    <w:r>
      <w:rPr>
        <w:rFonts w:ascii="Calibri" w:cs="Calibri" w:eastAsia="Calibri" w:hAnsi="Calibri"/>
        <w:color w:val="5B6770"/>
        <w:sz w:val="16"/>
        <w:szCs w:val="16"/>
      </w:rPr>
      <w:t xml:space="preserve">	Seite </w:t>
      <w:fldChar w:fldCharType="begin"/>
      <w:instrText xml:space="preserve">PAGE</w:instrText>
      <w:fldChar w:fldCharType="separate"/>
      <w:fldChar w:fldCharType="end"/>
      <w:t xml:space="preserve"> von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866"/>
      </w:tabs>
    </w:pPr>
    <w:r>
      <w:rPr>
        <w:rFonts w:ascii="Calibri" w:cs="Calibri" w:eastAsia="Calibri" w:hAnsi="Calibri"/>
        <w:color w:val="5B6770"/>
        <w:sz w:val="16"/>
        <w:szCs w:val="16"/>
      </w:rPr>
      <w:t xml:space="preserve">Maschinen, die Sprache verstehen</w:t>
    </w:r>
    <w:r>
      <w:rPr>
        <w:rFonts w:ascii="Calibri" w:cs="Calibri" w:eastAsia="Calibri" w:hAnsi="Calibri"/>
        <w:color w:val="5B6770"/>
        <w:sz w:val="16"/>
        <w:szCs w:val="16"/>
      </w:rPr>
      <w:t xml:space="preserve">	Informatik gA und eA · Automaten &amp; formale Sprachen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▪"/>
      <w:lvlJc w:val="left"/>
      <w:pPr>
        <w:ind w:left="400" w:hanging="260"/>
      </w:pPr>
      <w:rPr>
        <w:color w:val="0E6455"/>
      </w:rPr>
    </w:lvl>
    <w:lvl w:ilvl="1" w15:tentative="1">
      <w:start w:val="1"/>
      <w:numFmt w:val="bullet"/>
      <w:lvlText w:val="–"/>
      <w:lvlJc w:val="left"/>
      <w:pPr>
        <w:ind w:left="800" w:hanging="260"/>
      </w:pPr>
      <w:rPr>
        <w:color w:val="5B6770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A2E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c5d5e3b752244fd612af755d8151d8f5fa85ee3.png"/><Relationship Id="rId10" Type="http://schemas.openxmlformats.org/officeDocument/2006/relationships/image" Target="media/3ed0cbb70fa7e687fba0c34d5f9cb8350e754fca.png"/><Relationship Id="rId11" Type="http://schemas.openxmlformats.org/officeDocument/2006/relationships/image" Target="media/768385bac199186f52b7f7bba10976962a5a2f30.png"/><Relationship Id="rId12" Type="http://schemas.openxmlformats.org/officeDocument/2006/relationships/image" Target="media/30c58a434be57cc007afa8f0605919a1ad6bcb97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Boss-Level A: Pixel-Ninja</dc:title>
  <dc:creator>Frank Juchim</dc:creator>
  <dc:description>Informatik gA/eA – Automaten und formale Sprachen</dc:description>
  <cp:lastModifiedBy>Un-named</cp:lastModifiedBy>
  <cp:revision>1</cp:revision>
  <dcterms:created xsi:type="dcterms:W3CDTF">2026-10-14T16:08:03.387Z</dcterms:created>
  <dcterms:modified xsi:type="dcterms:W3CDTF">2026-10-14T16:08:03.387Z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