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Lehrkraft-Handreichung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3  ·  Welt A · Endliche Automaten  ·  Niveau: gA und eA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Bauplan gesucht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DEA systematisch entwickeln – Bausteine und Vorgehen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gA und eA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entwickle ich systematisch einen Automaten für eine gegebene Sprache?</w:t>
            </w:r>
          </w:p>
        </w:tc>
      </w:tr>
    </w:tbl>
    <w:p>
      <w:pPr>
        <w:spacing w:after="16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Überblick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8051"/>
      </w:tblGrid>
      <w:tr>
        <w:trPr>
          <w:cantSplit/>
          <w:tblHeader/>
        </w:trPr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80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Lernziele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Die SuS entwickeln DEAs systematisch nach einem 5-Schritte-Vorgehen, wenden die Konstruktionsbausteine festes Präfix, Teilwort, Endung, Zählen (genau / mindestens / modulo), Produkt („Paare von Erinnerungen“) und Komplement an und überprüfen ihre Automaten mit Grenzfällen und Gegenbeispielen.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KC-Bezug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Automatenmodelle als Zustandsgraphen entwickeln und implementieren (K3); „implementieren“ über den Automaten-Baukasten bzw. flaci.com. PK1.5 (Modelle entwickeln), PK3.2 (Lösungen überprüfen), IK3.2.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Operatoren „entwickeln/entwerfen“, „ergänzen/verändern“, „begründen“ (Zustände müssen verschieden sein). Zur Vertiefung: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 2024 eA Aufgabe B, Teile a–c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(Spielekonsolen-Code; AB-Aufgabe 5 ist eine Variante mit veränderter Regel (2)),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 2022 eA Aufgabe C, Teil b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(Begründen, dass 30 und 03 in verschiedene Zustände führen; vollständigen DEA entwerfen),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 2025 eA Aufgabe B, Teil f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(Zustandsgraph ergänzen).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Material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Folien DS03, AB03, Merkblatt M02 „DEA entwickeln – Bausteine &amp; Vorgehen“, AutomatenLab „Automaten-Baukasten“ (#/baukasten, Challenges per ?aufgabe=…)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Vorbereitung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M02 kopieren (beidseitig), iPads/App-Zugang prüfen; ggf. Folienstift für die gemeinsame Konstruktion am Einstiegsbeispiel.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Verlaufsplan (90 Minuten)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361"/>
        <w:gridCol w:w="5783"/>
        <w:gridCol w:w="1814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78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Unterrichtsgeschehen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Sozialform / Medien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0–10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Einstieg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Denkfrage (Folien 3–4): „Gerade Anzahl a UND endet auf b – was muss sich der Automat merken?“ Think-Pair-Share; Ergebnis: zwei unabhängige Erinnerungen → vier Paare.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EA → PA → UG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10–35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Bausteine-Galerie (Folien 6–8): Präfix, Teilwort, Endung, Zählen genau/mindestens, modulo, Produkt, Komplement. 5-Schritte-Vorgehen am Einstiegsbeispiel gemeinsam durchführen inkl. Testtabelle und typischen Fallen (Folien 9–12). M02 austeilen.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LV/UG, Folien, M02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35–80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Übung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AB03 gestuft: Basis 1, Standard 2–4, Profi 5. Kontrolle eigenständig im Baukasten (Gegenbeispiel-Feedback). Lehrkraft berät; Zwischenstopp nach ca. 20 min: typischer Fehler „Neuanfang“ (Aufgabe 2) am Beispiel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ababa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EA/PA, AB03, iPads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80–90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Sicherung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Abi-Check (Folie 17): „Begründen Sie, dass sich der Automat nach x und y in verschiedenen Zuständen befinden muss.“ Antwortmuster an Aufgabe 5a. Merke-Folie, HA.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M02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Hinweis zum Einstiegsbeispiel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Die Produktkonstruktion liefert vier Zustände. Der Automat ist korrekt, aber nicht minimal: Die Zustände S2 und S3 („ungerade Anzahl a“ mit bzw. ohne b am Ende) sind gleichwertig, weil bei ungerader Anzahl a das letzte Zeichen keine Rolle spielt. Das ist kein Fehler – die Produkt-Idee ist ein sicherer Bauplan; das Zusammenfassen folgt in Level 5 (Vertiefung). Die Baukasten-Challenge „gerade-a-endet-b“ prüft nur die Sprache und akzeptiert beide Varianten.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Lösungen AB03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1 – Bausteine anwenden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center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a) Festes Präfix „ba“: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667000" cy="809625"/>
                  <wp:effectExtent t="0" r="0" b="0" l="0"/>
                  <wp:docPr id="1" name="a1a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center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b) Zählen genau (ein a):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1943100" cy="828675"/>
                  <wp:effectExtent t="0" r="0" b="0" l="0"/>
                  <wp:docPr id="1" name="a1c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c) Zählen mindestens (drei b):</w:t>
      </w:r>
    </w:p>
    <w:p>
      <w:pPr>
        <w:keepNext w:val="false"/>
        <w:spacing w:after="120" w:before="60"/>
        <w:jc w:val="center"/>
      </w:pPr>
      <w:r>
        <w:drawing>
          <wp:inline distT="0" distB="0" distL="0" distR="0">
            <wp:extent cx="3600450" cy="847725"/>
            <wp:effectExtent t="0" r="0" b="0" l="0"/>
            <wp:docPr id="1" name="a1b.png" descr="Abbildung" title="Abbil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Bei a) und b) führen alle nicht eingezeichneten Übergänge in einen Fehlerzustand (Hinweis muss notiert sein).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2 – Endet auf „aba“</w:t>
      </w:r>
    </w:p>
    <w:p>
      <w:pPr>
        <w:keepNext w:val="false"/>
        <w:spacing w:after="120" w:before="60"/>
        <w:jc w:val="center"/>
      </w:pPr>
      <w:r>
        <w:drawing>
          <wp:inline distT="0" distB="0" distL="0" distR="0">
            <wp:extent cx="4143375" cy="1228725"/>
            <wp:effectExtent t="0" r="0" b="0" l="0"/>
            <wp:docPr id="1" name="a2_aba.png" descr="Abbildung" title="Abbil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Bedeutung: S0 – kein passender Anfang; S1 – zuletzt „a“; S2 – zuletzt „ab“; S3 – zuletzt „aba“ (Endzustand).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134"/>
        <w:gridCol w:w="1021"/>
        <w:gridCol w:w="7711"/>
      </w:tblGrid>
      <w:tr>
        <w:trPr>
          <w:cantSplit/>
          <w:tblHeader/>
        </w:trPr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Wort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soll?</w:t>
            </w:r>
          </w:p>
        </w:tc>
        <w:tc>
          <w:tcPr>
            <w:tcW w:type="dxa" w:w="771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Zustandsfolge (Musterlösung)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77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  ⇒  abgelehnt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aba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ja</w:t>
            </w:r>
          </w:p>
        </w:tc>
        <w:tc>
          <w:tcPr>
            <w:tcW w:type="dxa" w:w="77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 –a→ S1 –b→ S2 –a→ S3  ⇒  akzeptiert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aaba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ja</w:t>
            </w:r>
          </w:p>
        </w:tc>
        <w:tc>
          <w:tcPr>
            <w:tcW w:type="dxa" w:w="77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 –a→ S1 –a→ S1 –b→ S2 –a→ S3  ⇒  akzeptiert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abab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77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 –a→ S1 –b→ S2 –a→ S3 –b→ S2  ⇒  abgelehnt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ababa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ja</w:t>
            </w:r>
          </w:p>
        </w:tc>
        <w:tc>
          <w:tcPr>
            <w:tcW w:type="dxa" w:w="77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 –a→ S1 –b→ S2 –a→ S3 –b→ S2 –a→ S3  ⇒  akzeptiert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abba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77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 –a→ S1 –b→ S2 –b→ S0 –a→ S1  ⇒  abgelehnt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c) Nach „aba“ + b sind die letzten Zeichen „ab“ – das ist schon wieder der Anfang von „aba“. Der Automat muss nach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S2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(nicht nach S0) wechseln. Ein Automat mit S3 –b→ S0 lehnt z. B.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ababa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fälschlich ab.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3 – Das Gegenteil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a) Vollständigen Automaten nehmen und End- und Nicht-Endzustände tauschen: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733675" cy="809625"/>
                  <wp:effectExtent t="0" r="0" b="0" l="0"/>
                  <wp:docPr id="1" name="a3_nichtbb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b) Korrekt: zuerst den Fehlerzustand explizit machen (hier S3), dann tauschen: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733675" cy="1609725"/>
                  <wp:effectExtent t="0" r="0" b="0" l="0"/>
                  <wp:docPr id="1" name="a3_praefix_komplement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b) Gegenbeispiel: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b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beginnt nicht mit „ab“, wird von Lenas Automat aber abgelehnt (weitere: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aa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ba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bb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aaa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). Ursache: Der weggelassene Fehlerzustand ist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kein Endzustand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und bleibt es beim Tauschen – alle Wörter, die dort landen, werden weiterhin abgelehnt. Komplementbildung funktioniert nur bei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vollständigen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Automaten.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4 – Zwei Bedingungen gleichzeitig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9"/>
        <w:gridCol w:w="5557"/>
      </w:tblGrid>
      <w:tr>
        <w:trPr>
          <w:cantSplit/>
        </w:trPr>
        <w:tc>
          <w:tcPr>
            <w:tcW w:type="dxa" w:w="43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center"/>
          </w:tcPr>
          <w:tbl>
            <w:tblPr>
              <w:tblW w:type="dxa" w:w="4140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964"/>
              <w:gridCol w:w="1191"/>
              <w:gridCol w:w="1191"/>
              <w:gridCol w:w="794"/>
            </w:tblGrid>
            <w:tr>
              <w:trPr>
                <w:cantSplit/>
                <w:tblHeader/>
              </w:trPr>
              <w:tc>
                <w:tcPr>
                  <w:tcW w:type="dxa" w:w="96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Zustand</w:t>
                  </w:r>
                </w:p>
              </w:tc>
              <w:tc>
                <w:tcPr>
                  <w:tcW w:type="dxa" w:w="1191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Anzahl a</w:t>
                  </w:r>
                </w:p>
              </w:tc>
              <w:tc>
                <w:tcPr>
                  <w:tcW w:type="dxa" w:w="1191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Anzahl b</w:t>
                  </w:r>
                </w:p>
              </w:tc>
              <w:tc>
                <w:tcPr>
                  <w:tcW w:type="dxa" w:w="79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End?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96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S0</w:t>
                  </w:r>
                </w:p>
              </w:tc>
              <w:tc>
                <w:tcPr>
                  <w:tcW w:type="dxa" w:w="119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gerade</w:t>
                  </w:r>
                </w:p>
              </w:tc>
              <w:tc>
                <w:tcPr>
                  <w:tcW w:type="dxa" w:w="119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gerade</w:t>
                  </w:r>
                </w:p>
              </w:tc>
              <w:tc>
                <w:tcPr>
                  <w:tcW w:type="dxa" w:w="79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nein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96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S1</w:t>
                  </w:r>
                </w:p>
              </w:tc>
              <w:tc>
                <w:tcPr>
                  <w:tcW w:type="dxa" w:w="119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gerade</w:t>
                  </w:r>
                </w:p>
              </w:tc>
              <w:tc>
                <w:tcPr>
                  <w:tcW w:type="dxa" w:w="119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ungerade</w:t>
                  </w:r>
                </w:p>
              </w:tc>
              <w:tc>
                <w:tcPr>
                  <w:tcW w:type="dxa" w:w="79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ja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96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S2</w:t>
                  </w:r>
                </w:p>
              </w:tc>
              <w:tc>
                <w:tcPr>
                  <w:tcW w:type="dxa" w:w="119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ungerade</w:t>
                  </w:r>
                </w:p>
              </w:tc>
              <w:tc>
                <w:tcPr>
                  <w:tcW w:type="dxa" w:w="119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gerade</w:t>
                  </w:r>
                </w:p>
              </w:tc>
              <w:tc>
                <w:tcPr>
                  <w:tcW w:type="dxa" w:w="79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nein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96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S3</w:t>
                  </w:r>
                </w:p>
              </w:tc>
              <w:tc>
                <w:tcPr>
                  <w:tcW w:type="dxa" w:w="119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ungerade</w:t>
                  </w:r>
                </w:p>
              </w:tc>
              <w:tc>
                <w:tcPr>
                  <w:tcW w:type="dxa" w:w="119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ungerade</w:t>
                  </w:r>
                </w:p>
              </w:tc>
              <w:tc>
                <w:tcPr>
                  <w:tcW w:type="dxa" w:w="79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nein</w:t>
                  </w:r>
                </w:p>
              </w:tc>
            </w:tr>
          </w:tbl>
          <w:p/>
        </w:tc>
        <w:tc>
          <w:tcPr>
            <w:tcW w:type="dxa" w:w="55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center"/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162175" cy="1704975"/>
                  <wp:effectExtent t="0" r="0" b="0" l="0"/>
                  <wp:docPr id="1" name="a4_und.png" descr="b) a gerade UND b ungerade" title="b) a gerade UND b ungera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b) a gerade UND b ungerade</w:t>
            </w:r>
          </w:p>
        </w:tc>
      </w:tr>
    </w:tbl>
    <w:p>
      <w:pPr>
        <w:spacing w:after="8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c) Gleicher Graph, nur andere Endzustände: F = {S0, S1, S3} (alle Paare, in denen „a gerade“ oder „b ungerade“ gilt). Die Übergänge hängen nur davon ab, wie sich die Erinnerungen ändern – nicht davon, welche Kombination akzeptiert wird.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5 – Der Retro-Controller (Profi)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a) Nach X ist Regel (1) bereits erfüllt, nach O nicht. Mit dem Zusatz „OE“ wird XOE akzeptiert, OOE dagegen abgelehnt. Wären beide Eingaben im selben Zustand, müsste der Automat beide Wörter gleich behandeln. Musterlösung: S0 –X→ S4 –O→ S5 –E→ S6  ⇒  akzeptiert; S0 –O→ S1 –O→ S2 –E→ Fehlerzustand  ⇒  abgelehnt.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676650" cy="2409825"/>
            <wp:effectExtent t="0" r="0" b="0" l="0"/>
            <wp:docPr id="1" name="konsole_var.png" descr="b) Musterlösung mit 7 Zuständen. Alle nicht eingezeichneten Übergänge führen in einen Fehlerzustand." title="b) Musterlösung mit 7 Zuständen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b) Musterlösung mit 7 Zuständen. Alle nicht eingezeichneten Übergänge führen in einen Fehlerzustand.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134"/>
        <w:gridCol w:w="8732"/>
      </w:tblGrid>
      <w:tr>
        <w:trPr>
          <w:cantSplit/>
          <w:tblHeader/>
        </w:trPr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873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Bedeutung (c)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873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Weder A noch X gedrückt, noch keine rote Taste (höchstens B).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873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Weder A noch X, genau eine rote Taste (ein O).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873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Weder A noch X, mindestens zwei rote Tasten (nur O).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S3</w:t>
            </w:r>
          </w:p>
        </w:tc>
        <w:tc>
          <w:tcPr>
            <w:tcW w:type="dxa" w:w="873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 gedrückt, aber noch keine rote Taste.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S4</w:t>
            </w:r>
          </w:p>
        </w:tc>
        <w:tc>
          <w:tcPr>
            <w:tcW w:type="dxa" w:w="873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Regel (1) erfüllt, genau eine rote Taste.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S5</w:t>
            </w:r>
          </w:p>
        </w:tc>
        <w:tc>
          <w:tcPr>
            <w:tcW w:type="dxa" w:w="873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Regeln (1) und (2) erfüllt – es fehlt nur noch E.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S6</w:t>
            </w:r>
          </w:p>
        </w:tc>
        <w:tc>
          <w:tcPr>
            <w:tcW w:type="dxa" w:w="873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Gültiger Code (mit E abgeschlossen); jede weitere Taste führt in den Fehlerzustand.</w:t>
            </w:r>
          </w:p>
        </w:tc>
      </w:tr>
    </w:tbl>
    <w:p>
      <w:pPr>
        <w:spacing w:after="140" w:before="0"/>
      </w:pP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247"/>
        <w:gridCol w:w="8618"/>
      </w:tblGrid>
      <w:tr>
        <w:trPr>
          <w:cantSplit/>
          <w:tblHeader/>
        </w:trPr>
        <w:tc>
          <w:tcPr>
            <w:tcW w:type="dxa" w:w="124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61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Verarbeitung durch die Musterlösung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AOXE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–A→ S3 –O→ S4 –X→ S5 –E→ S6  ⇒  akzeptiert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OOBE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–O→ S1 –O→ S2 –B→ S2 –E→ Fehlerzustand  ⇒  abgelehnt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XXE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–X→ S4 –X→ S5 –E→ S6  ⇒  akzeptiert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BXOE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–B→ S0 –X→ S4 –O→ S5 –E→ S6  ⇒  akzeptiert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AOE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–A→ S3 –O→ S4 –E→ Fehlerzustand  ⇒  abgelehnt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d) Die Abitur-Regel („beide Farben“) benötigt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8 Zustände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ohne Fehlerzustand (Variante: 7). Musterlösung zum Vergleich (entspricht der Referenz der Baukasten-Challenge „konsole“):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962400" cy="2638425"/>
            <wp:effectExtent t="0" r="0" b="0" l="0"/>
            <wp:docPr id="1" name="konsole_abi.png" descr="Alle nicht eingezeichneten Übergänge führen in einen Fehlerzustand." title="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Alle nicht eingezeichneten Übergänge führen in einen Fehlerzustand.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Typische Schwierigkeiten</w:t>
      </w: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Darauf achten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Neuanfang vergessen: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Bei „endet auf“ und „enthält“ springen viele bei einem „falschen“ Zeichen immer nach S0. Testwort mit Überlappung (</w:t>
            </w:r>
            <w:r>
              <w:rPr>
                <w:rFonts w:ascii="Consolas" w:cs="Consolas" w:eastAsia="Consolas" w:hAnsi="Consolas"/>
                <w:color w:val="0A4A3F"/>
                <w:sz w:val="19"/>
                <w:szCs w:val="19"/>
              </w:rPr>
              <w:t xml:space="preserve">ababa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A4A3F"/>
                <w:sz w:val="19"/>
                <w:szCs w:val="19"/>
              </w:rPr>
              <w:t xml:space="preserve">aaba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) bereithalten.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Unvollständige Automaten: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Bei „endet auf“ darf es keinen Fehlerzustand geben – jedes Zeichen kann noch zu einem akzeptierten Wort führen.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Komplement: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Tauschen nur bei vollständigem Automaten (Aufgabe 3b).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Produkt: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SuS bauen zwei getrennte Automaten nebeneinander. Klarstellen: Ein Zustand speichert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beide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Erinnerungen gleichzeitig (Paar).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Testen: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ε wird oft vergessen – ist S0 Endzustand, wird ε akzeptiert.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Abitur-Fallen: </w:t>
            </w: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P1 </w:t>
            </w:r>
            <w:r>
              <w:rPr>
                <w:rFonts w:ascii="Calibri" w:cs="Calibri" w:eastAsia="Calibri" w:hAnsi="Calibri"/>
                <w:color w:val="5B6770"/>
                <w:sz w:val="17"/>
                <w:szCs w:val="17"/>
              </w:rPr>
              <w:t xml:space="preserve">Automat unvollständig, Fehlerzustand-Hinweis fehlt</w:t>
            </w: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  ·  P3 </w:t>
            </w:r>
            <w:r>
              <w:rPr>
                <w:rFonts w:ascii="Calibri" w:cs="Calibri" w:eastAsia="Calibri" w:hAnsi="Calibri"/>
                <w:color w:val="5B6770"/>
                <w:sz w:val="17"/>
                <w:szCs w:val="17"/>
              </w:rPr>
              <w:t xml:space="preserve">Entwurf nicht an Grenzfällen getestet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Differenzierung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Basis: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 1 mit M02 als Vorlage; Baukasten Stufe 1 (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#/baukasten?stufe=1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Standard: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Aufgaben 2–4; verwandte Baukasten-Challenges zum selben Baustein: „endet-ab“, „komplement-aa“, „gerade-a-endet-b“ (die AB-Sprachen selbst – aba, nicht bb, a gerade UND b ungerade – sind keine Challenges; Kontrolle über die Testtabellen bzw. den freien Modus).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Profi: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 5 und anschließend Original Abi 2024 eA B a–c; Zusatz: Abi 2022 eA C b (Trainer, Summenregel).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Hilfekarten: Für Aufgabe 2 die Bedeutungen „zuletzt a / ab / aba“ vorgeben; für Aufgabe 5 die Paar-Tabelle (2 × 3) vorgeben.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Hausaufgabe: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Baukasten-Challenges „a-mod-3“ und „anfang-ende“ (Profis: „binaer-3“) sowie eine eigene Challenge für die Sitznachbarin / den Sitznachbarn (Σ, Sprache, je drei Ja-/Nein-Wörter, Musterlösung). Die Paare tauschen ihre Challenges zu Beginn der nächsten Stunde als Warm-up (in Bonus-Level 4 oder 5 Minuten zu Beginn von Level 6).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DS03 · Lehrkraft-Handreichung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gA und eA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1378a1784d7c7eb50f60911827e8d9f0c6c23f4.png"/><Relationship Id="rId10" Type="http://schemas.openxmlformats.org/officeDocument/2006/relationships/image" Target="media/d5dcda283144899ae737beb714272484592f1813.png"/><Relationship Id="rId11" Type="http://schemas.openxmlformats.org/officeDocument/2006/relationships/image" Target="media/5e636bb3e50a70ae8d8f56cdd746c6110803c4b4.png"/><Relationship Id="rId12" Type="http://schemas.openxmlformats.org/officeDocument/2006/relationships/image" Target="media/2b4ed24ecf508692341acb7db90e1ce0f307d914.png"/><Relationship Id="rId13" Type="http://schemas.openxmlformats.org/officeDocument/2006/relationships/image" Target="media/83f7808755c52fab576efe7224662fb16f7ba229.png"/><Relationship Id="rId14" Type="http://schemas.openxmlformats.org/officeDocument/2006/relationships/image" Target="media/4a25f4138d1ff1a977961a175ccb41baf801a3a0.png"/><Relationship Id="rId15" Type="http://schemas.openxmlformats.org/officeDocument/2006/relationships/image" Target="media/e65a2efe47280940b5fc1c750613102b32abc5b9.png"/><Relationship Id="rId16" Type="http://schemas.openxmlformats.org/officeDocument/2006/relationships/image" Target="media/850e69a9edf82f10fc6f31046472d0f2c8bd075d.png"/><Relationship Id="rId17" Type="http://schemas.openxmlformats.org/officeDocument/2006/relationships/image" Target="media/5ecf827fe7dda1222df1fad6d1cbf32ff387ca86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Bauplan gesucht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2026-10-14T16:07:56.647Z</dcterms:created>
  <dcterms:modified xsi:type="dcterms:W3CDTF">2026-10-14T16:07:56.647Z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