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Arbeitsblatt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Level 8  ·  Welt B · Grenzen &amp; Keller  ·  Niveau: Zusatz (über das KC hinaus)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Raten erlaubt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Nichtdeterministische endliche Automaten (NEA) als Brücke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pBdr>
                <w:bottom w:val="single" w:color="C9D3D6" w:sz="4" w:space="14"/>
              </w:pBdr>
              <w:spacing w:after="0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Name</w:t>
            </w:r>
          </w:p>
          <w:p>
            <w:pPr>
              <w:pBdr>
                <w:bottom w:val="single" w:color="C9D3D6" w:sz="4" w:space="14"/>
              </w:pBdr>
              <w:spacing w:after="0" w:before="120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Datum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tbl>
      <w:tblPr>
        <w:tblW w:type="dxa" w:w="9866"/>
        <w:tblBorders>
          <w:top w:val="single" w:color="F8ECDB" w:sz="6"/>
          <w:left w:val="single" w:color="F8ECDB" w:sz="6"/>
          <w:bottom w:val="single" w:color="F8ECDB" w:sz="6"/>
          <w:right w:val="single" w:color="F8ECDB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CF6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20"/>
                <w:szCs w:val="20"/>
              </w:rPr>
              <w:t xml:space="preserve">Kernfrage  </w:t>
            </w:r>
            <w:r>
              <w:rPr>
                <w:rFonts w:ascii="Cambria" w:cs="Cambria" w:eastAsia="Cambria" w:hAnsi="Cambria"/>
                <w:i/>
                <w:iCs/>
                <w:color w:val="0A4A3F"/>
                <w:sz w:val="24"/>
                <w:szCs w:val="24"/>
              </w:rPr>
              <w:t xml:space="preserve">Was ändert sich, wenn ein Automat mehrere Möglichkeiten hat?</w:t>
            </w:r>
          </w:p>
        </w:tc>
      </w:tr>
    </w:tbl>
    <w:p>
      <w:pPr>
        <w:spacing w:after="16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Im Level 1 hat der LOL-Erkenner bei jedem Zeichen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genau einen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Folgezustand gewählt – auch mit Rücksprüngen, die man sich gut überlegen musste. Jetzt erlauben wir dem Automaten zu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raten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: Er darf mehrere Wege gleichzeitig verfolgen. Man spricht von einem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nichtdeterministischen endlichen Automaten (NEA)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tbl>
      <w:tblPr>
        <w:tblW w:type="dxa" w:w="9866"/>
        <w:tblBorders>
          <w:top w:val="single" w:color="E4F0EE" w:sz="6"/>
          <w:left w:val="single" w:color="E4F0EE" w:sz="6"/>
          <w:bottom w:val="single" w:color="E4F0EE" w:sz="6"/>
          <w:right w:val="single" w:color="E4F0EE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E4F0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23"/>
                <w:szCs w:val="23"/>
              </w:rPr>
              <w:t xml:space="preserve">Spielregeln „Parallelwelten“ (so arbeitet ein NEA)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Zu Beginn steht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eine Spielfigur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auf dem Startzustand.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Bei jedem Zeichen zieht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jede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Figur entlang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aller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passend beschrifteten Pfeile. Gibt es zwei passende Pfeile,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verdoppelt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sie sich. Gibt es keinen,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scheidet sie aus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Ein Pfeil mit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ε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darf jederzeit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ohne Lesen eines Zeichens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benutzt werden (die Figur kopiert sich dorthin). ε ist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kein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Zeichen des Eingabealphabets.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Die Eingabe wird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akzeptiert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, wenn nach dem letzten Zeichen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mindestens eine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Figur auf einem Endzustand steht – es also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mindestens einen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passenden Weg gibt.</w:t>
            </w:r>
          </w:p>
        </w:tc>
      </w:tr>
    </w:tbl>
    <w:p>
      <w:pPr>
        <w:spacing w:after="14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1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Parallelwelten: LOL-Suche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4F" w:color="auto" w:val="clear"/>
        </w:rPr>
        <w:t xml:space="preserve"> Basis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I–II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3781425" cy="895350"/>
            <wp:effectExtent t="0" r="0" b="0" l="0"/>
            <wp:docPr id="1" name="lol_nea.png" descr="Abbildung 1: NEA „LOL-Suche“, Σ = {L, O, X}" title="Abbildung 1: NEA „LOL-Suche“, Σ = {L, O, X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1: NEA „LOL-Suche“, Σ = {L, O, X}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Stelle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für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LLOL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Mengen der aktiven Zustände nach jedem Zeichen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dar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tbl>
      <w:tblPr>
        <w:tblW w:type="dxa" w:w="9868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928"/>
        <w:gridCol w:w="1588"/>
        <w:gridCol w:w="1588"/>
        <w:gridCol w:w="1588"/>
        <w:gridCol w:w="1588"/>
        <w:gridCol w:w="1588"/>
      </w:tblGrid>
      <w:tr>
        <w:trPr>
          <w:cantSplit/>
          <w:tblHeader/>
          <w:trHeight w:val="510" w:hRule="atLeast"/>
        </w:trPr>
        <w:tc>
          <w:tcPr>
            <w:tcW w:type="dxa" w:w="192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gelesen</w:t>
            </w:r>
          </w:p>
        </w:tc>
        <w:tc>
          <w:tcPr>
            <w:tcW w:type="dxa" w:w="158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Start</w:t>
            </w:r>
          </w:p>
        </w:tc>
        <w:tc>
          <w:tcPr>
            <w:tcW w:type="dxa" w:w="158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</w:t>
            </w:r>
          </w:p>
        </w:tc>
        <w:tc>
          <w:tcPr>
            <w:tcW w:type="dxa" w:w="158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</w:t>
            </w:r>
          </w:p>
        </w:tc>
        <w:tc>
          <w:tcPr>
            <w:tcW w:type="dxa" w:w="158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</w:t>
            </w:r>
          </w:p>
        </w:tc>
        <w:tc>
          <w:tcPr>
            <w:tcW w:type="dxa" w:w="158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</w:t>
            </w:r>
          </w:p>
        </w:tc>
      </w:tr>
      <w:tr>
        <w:trPr>
          <w:cantSplit/>
          <w:tblHeader w:val="false"/>
          <w:trHeight w:val="510" w:hRule="atLeast"/>
        </w:trPr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aktive Zustände</w:t>
            </w:r>
          </w:p>
        </w:tc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{S0}</w:t>
            </w:r>
          </w:p>
        </w:tc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</w:tbl>
    <w:p>
      <w:pPr>
        <w:spacing w:after="140" w:before="0"/>
      </w:pP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Stelle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ebenso die Verarbeitung von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LOOL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XLOLO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dar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entscheide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jeweils über die Akzeptanz.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Im Zustand S0 gibt es für L zwei Pfeile.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was der NEA damit „rät“, und warum in S0 immer eine Figur übrig bleibt.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2695575" cy="857250"/>
            <wp:effectExtent t="0" r="0" b="0" l="0"/>
            <wp:docPr id="1" name="lol_dea.png" descr="Abbildung 2: DEA „LOL-Erkenner“ aus Level 1" title="Abbildung 2: DEA „LOL-Erkenner“ aus Level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2: DEA „LOL-Erkenner“ aus Level 1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d)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Vergleiche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den NEA aus Abbildung 1 mit dem DEA aus Level 1 (Abbildung 2): Welche Pfeile fehlen im NEA – und warum braucht er sie nicht?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1"/>
        <w:gridCol w:w="170"/>
        <w:gridCol w:w="7995"/>
      </w:tblGrid>
      <w:tr>
        <w:trPr>
          <w:cantSplit/>
          <w:trHeight w:val="1701" w:hRule="atLeast"/>
        </w:trPr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33450" cy="933450"/>
                  <wp:effectExtent t="0" r="0" b="0" l="0"/>
                  <wp:docPr id="1" name="qr" descr="https://automatenlab.frankjuchim.de/#/parallelwelten?aufgabe=1&amp;modus=sim" title="QR-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0" w:line="276"/>
              <w:jc w:val="left"/>
            </w:pPr>
          </w:p>
        </w:tc>
        <w:tc>
          <w:tcPr>
            <w:tcW w:type="dxa" w:w="79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7F6" w:color="auto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AutomatenLab  </w:t>
            </w:r>
            <w:r>
              <w:rPr>
                <w:rFonts w:ascii="Cambria" w:cs="Cambria" w:eastAsia="Cambria" w:hAnsi="Cambria"/>
                <w:b/>
                <w:bCs/>
                <w:color w:val="0E6455"/>
                <w:sz w:val="24"/>
                <w:szCs w:val="24"/>
              </w:rPr>
              <w:t xml:space="preserve">Parallelwelten</w:t>
            </w:r>
          </w:p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Gib ein Wort ein und beobachte die Spielfiguren. Im Modus „Rätsel“ sagst du voraus, wo die Figuren stehen. Aufgabe 4 = Spamfilter GRATIS, Aufgabe 5 = Vorzeichen (ε).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Link: https://automatenlab.frankjuchim.de/#/parallelwelten?aufgabe=1&amp;modus=sim</w:t>
            </w:r>
          </w:p>
        </w:tc>
      </w:tr>
    </w:tbl>
    <w:p>
      <w:pPr>
        <w:spacing w:after="16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2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Spamfilter „GRATIS“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1F5F99" w:color="auto" w:val="clear"/>
        </w:rPr>
        <w:t xml:space="preserve"> Standard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II–III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Ein Spamfilter soll Nachrichten markieren, in denen das Wort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GRATIS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vorkommt. Vereinfachtes Alphabet: Σ = {G, R, A, T, I, S, X}, wobei X für jedes andere Zeichen steht.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Entwickle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einen NEA, der genau die Nachrichten akzeptiert, in denen GRATIS vorkommt. (Tipp: Orientiere dich an Abbildung 1.)</w:t>
      </w:r>
    </w:p>
    <w:tbl>
      <w:tblPr>
        <w:tblW w:type="dxa" w:w="9866"/>
        <w:tblBorders>
          <w:top w:val="dashed" w:color="A8B4B8" w:sz="6"/>
          <w:left w:val="dashed" w:color="A8B4B8" w:sz="6"/>
          <w:bottom w:val="dashed" w:color="A8B4B8" w:sz="6"/>
          <w:right w:val="dashed" w:color="A8B4B8" w:sz="6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2041" w:hRule="exact"/>
        </w:trPr>
        <w:tc>
          <w:tcPr>
            <w:tcW w:type="dxa" w:w="9866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A8B4B8"/>
                <w:sz w:val="18"/>
                <w:szCs w:val="18"/>
              </w:rPr>
              <w:t xml:space="preserve">Platz für deinen Zustandsgraphen</w:t>
            </w:r>
          </w:p>
        </w:tc>
      </w:tr>
    </w:tbl>
    <w:p>
      <w:pPr>
        <w:spacing w:after="120" w:before="0"/>
      </w:pP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Stelle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Verarbeitung der Nachricht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GRAGRATIS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durch deinen NEA als Folge von Zustandsmengen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dar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Ein DEA für dieselbe Aufgabe muss nach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GRAG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wieder in den Zustand „G gelesen“ springen.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an diesem Beispiel, warum das Entwerfen beim NEA einfacher ist.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3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Sprünge ohne Zeichen: ε-Übergänge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1F5F99" w:color="auto" w:val="clear"/>
        </w:rPr>
        <w:t xml:space="preserve"> Standard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II</w:t>
      </w:r>
    </w:p>
    <w:p>
      <w:pPr>
        <w:keepNext/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Binärzahlen dürfen ein Vorzeichen haben – müssen aber nicht. Σ = {+, -, 0, 1}.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2876550" cy="790575"/>
            <wp:effectExtent t="0" r="0" b="0" l="0"/>
            <wp:docPr id="1" name="vorzeichen.png" descr="Abbildung 3: NEA mit ε-Übergang von S0 nach S1" title="Abbildung 3: NEA mit ε-Übergang von S0 nach 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3: NEA mit ε-Übergang von S0 nach S1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Untersuche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welche der Eingaben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+101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10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-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+-1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akzeptiert werden.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Gib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dazu jeweils die Mengen aktiver Zustände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(Achtung: Schon vor dem ersten Zeichen ist S1 aktiv!).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Lena schreibt: „Σ = {+, -, 0, 1, ε}“.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Beurteile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diese Angabe.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Bestimme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Sprache des folgenden NEA über Σ = {a, b}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Rolle der beiden ε-Übergänge.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2305050" cy="1409700"/>
            <wp:effectExtent t="0" r="0" b="0" l="0"/>
            <wp:docPr id="1" name="oder.png" descr="Abbildung 4: NEA mit zwei ε-Übergängen" title="Abbildung 4: NEA mit zwei ε-Übergän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4: NEA mit zwei ε-Übergängen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p>
      <w:r>
        <w:br w:type="page"/>
      </w: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4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Vom NEA zum DEA: Teilmengenkonstruktion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6B3FA0" w:color="auto" w:val="clear"/>
        </w:rPr>
        <w:t xml:space="preserve"> Profi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III</w:t>
      </w:r>
      <w:r>
        <w:rPr>
          <w:rFonts w:ascii="Calibri" w:cs="Calibri" w:eastAsia="Calibri" w:hAnsi="Calibri"/>
          <w:b/>
          <w:bCs/>
          <w:color w:val="0E6455"/>
          <w:sz w:val="17"/>
          <w:szCs w:val="17"/>
        </w:rPr>
        <w:t xml:space="preserve">   ▸ AutomatenLab #/parallelwelten?aufgabe=2&amp;modus=teilmengen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NEA und DEA sind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gleich mächtig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: Zu jedem NEA gibt es einen DEA, der dieselbe Sprache erkennt. Die Idee: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Ein DEA-Zustand = eine Menge aktiver NEA-Zustände.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Man startet mit der Startmenge und bestimmt für jedes Zeichen die Folgemenge, bis keine neue Menge mehr entsteht. Endzustände sind alle Mengen, die einen NEA-Endzustand enthalten.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2305050" cy="676275"/>
            <wp:effectExtent t="0" r="0" b="0" l="0"/>
            <wp:docPr id="1" name="endet_ab_nea.png" descr="Abbildung 5: NEA „endet auf ab“, Σ = {a, b}" title="Abbildung 5: NEA „endet auf ab“, Σ = {a, 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5: NEA „endet auf ab“, Σ = {a, b}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Vervollständige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Tabelle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zeichne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den entstehenden DEA.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835"/>
        <w:gridCol w:w="2268"/>
        <w:gridCol w:w="2268"/>
        <w:gridCol w:w="2495"/>
      </w:tblGrid>
      <w:tr>
        <w:trPr>
          <w:cantSplit/>
          <w:tblHeader/>
          <w:trHeight w:val="482" w:hRule="atLeast"/>
        </w:trPr>
        <w:tc>
          <w:tcPr>
            <w:tcW w:type="dxa" w:w="283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Menge (DEA-Zustand)</w:t>
            </w:r>
          </w:p>
        </w:tc>
        <w:tc>
          <w:tcPr>
            <w:tcW w:type="dxa" w:w="226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mit a</w:t>
            </w:r>
          </w:p>
        </w:tc>
        <w:tc>
          <w:tcPr>
            <w:tcW w:type="dxa" w:w="226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mit b</w:t>
            </w:r>
          </w:p>
        </w:tc>
        <w:tc>
          <w:tcPr>
            <w:tcW w:type="dxa" w:w="249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Endzustand?</w:t>
            </w:r>
          </w:p>
        </w:tc>
      </w:tr>
      <w:tr>
        <w:trPr>
          <w:cantSplit/>
          <w:tblHeader w:val="false"/>
          <w:trHeight w:val="482" w:hRule="atLeast"/>
        </w:trPr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{S0}</w:t>
            </w: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482" w:hRule="atLeast"/>
        </w:trPr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482" w:hRule="atLeast"/>
        </w:trPr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</w:tbl>
    <w:p>
      <w:pPr>
        <w:spacing w:after="140" w:before="0"/>
      </w:pPr>
    </w:p>
    <w:tbl>
      <w:tblPr>
        <w:tblW w:type="dxa" w:w="9866"/>
        <w:tblBorders>
          <w:top w:val="dashed" w:color="A8B4B8" w:sz="6"/>
          <w:left w:val="dashed" w:color="A8B4B8" w:sz="6"/>
          <w:bottom w:val="dashed" w:color="A8B4B8" w:sz="6"/>
          <w:right w:val="dashed" w:color="A8B4B8" w:sz="6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1814" w:hRule="exact"/>
        </w:trPr>
        <w:tc>
          <w:tcPr>
            <w:tcW w:type="dxa" w:w="9866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A8B4B8"/>
                <w:sz w:val="18"/>
                <w:szCs w:val="18"/>
              </w:rPr>
              <w:t xml:space="preserve">Platz für deinen Zustandsgraphen</w:t>
            </w:r>
          </w:p>
        </w:tc>
      </w:tr>
    </w:tbl>
    <w:p>
      <w:pPr>
        <w:spacing w:after="120" w:before="0"/>
      </w:pP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Der NEA „Das drittletzte Zeichen ist eine 1“ über Σ = {0, 1} hat 4 Zustände (App: Aufgabe 3).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Bestimme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mit der App, wie viele Zustände die Teilmengenkonstruktion liefert,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was sich ein Zustand des DEA „merkt“.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Selbstcheck – Level 8 geschafft, wenn …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die Verarbeitung eines Wortes durch einen NEA als Folge von Zustandsmengen darstellen kann.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erklären kann, wann ein NEA ein Wort akzeptiert („es gibt mindestens einen Weg“).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ε-Übergänge benutzen kann und weiß, dass ε kein Eingabezeichen ist.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weiß, dass NEA und DEA gleich mächtig sind, und die Idee der Teilmengenkonstruktion erklären kann.</w:t>
      </w: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DS08 · Arbeitsblatt  ·  CC BY-SA 4.0 Frank Juchim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· Zusatz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22e2e607c443cc105f26844816c7e0af8ec0edf.png"/><Relationship Id="rId10" Type="http://schemas.openxmlformats.org/officeDocument/2006/relationships/image" Target="media/e207115cf1d9b6dc43b42fe91d7e43f1447cab46.png"/><Relationship Id="rId11" Type="http://schemas.openxmlformats.org/officeDocument/2006/relationships/image" Target="media/08b1c037caefc6ab8428140101ee92939656b717.png"/><Relationship Id="rId12" Type="http://schemas.openxmlformats.org/officeDocument/2006/relationships/image" Target="media/5fe2007a66061806a9618a49e0e8e2fe1199ea96.png"/><Relationship Id="rId13" Type="http://schemas.openxmlformats.org/officeDocument/2006/relationships/image" Target="media/c3c4f4aad1b21115d7b37e5409b344c46697b42c.png"/><Relationship Id="rId14" Type="http://schemas.openxmlformats.org/officeDocument/2006/relationships/image" Target="media/1e07bdea1d7be2d8e74755530c454e079f85e811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Raten erlaubt</dc:title>
  <dc:creator>Frank Juchim</dc:creator>
  <dc:description>Informatik gA/eA – Automaten und formale Sprachen</dc:description>
  <cp:lastModifiedBy>Un-named</cp:lastModifiedBy>
  <cp:revision>1</cp:revision>
  <dcterms:created xsi:type="dcterms:W3CDTF">2026-10-14T16:08:08.903Z</dcterms:created>
  <dcterms:modified xsi:type="dcterms:W3CDTF">2026-10-14T16:08:08.903Z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